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19C" w:rsidRPr="009F6F14" w:rsidRDefault="006D719C" w:rsidP="00326510">
      <w:pPr>
        <w:jc w:val="both"/>
        <w:rPr>
          <w:sz w:val="24"/>
          <w:szCs w:val="24"/>
        </w:rPr>
      </w:pPr>
    </w:p>
    <w:p w:rsidR="00C2728F" w:rsidRDefault="00C2728F" w:rsidP="00326510">
      <w:pPr>
        <w:jc w:val="both"/>
        <w:rPr>
          <w:sz w:val="28"/>
          <w:szCs w:val="28"/>
        </w:rPr>
      </w:pPr>
    </w:p>
    <w:p w:rsidR="00C2728F" w:rsidRDefault="00C2728F" w:rsidP="00326510">
      <w:pPr>
        <w:jc w:val="both"/>
        <w:rPr>
          <w:sz w:val="28"/>
          <w:szCs w:val="28"/>
        </w:rPr>
      </w:pPr>
    </w:p>
    <w:p w:rsidR="00C2728F" w:rsidRDefault="00C2728F" w:rsidP="00326510">
      <w:pPr>
        <w:jc w:val="both"/>
        <w:rPr>
          <w:sz w:val="28"/>
          <w:szCs w:val="28"/>
        </w:rPr>
      </w:pPr>
    </w:p>
    <w:p w:rsidR="00C2728F" w:rsidRDefault="00C2728F" w:rsidP="00326510">
      <w:pPr>
        <w:jc w:val="both"/>
        <w:rPr>
          <w:sz w:val="28"/>
          <w:szCs w:val="28"/>
        </w:rPr>
      </w:pPr>
    </w:p>
    <w:p w:rsidR="00C2728F" w:rsidRDefault="00C2728F" w:rsidP="00326510">
      <w:pPr>
        <w:jc w:val="both"/>
        <w:rPr>
          <w:sz w:val="28"/>
          <w:szCs w:val="28"/>
        </w:rPr>
      </w:pPr>
    </w:p>
    <w:p w:rsidR="00C2728F" w:rsidRDefault="00C2728F" w:rsidP="00326510">
      <w:pPr>
        <w:jc w:val="both"/>
        <w:rPr>
          <w:sz w:val="28"/>
          <w:szCs w:val="28"/>
        </w:rPr>
      </w:pPr>
    </w:p>
    <w:p w:rsidR="00C2728F" w:rsidRPr="00AF3C38" w:rsidRDefault="00C2728F" w:rsidP="00C2728F">
      <w:pPr>
        <w:jc w:val="both"/>
      </w:pPr>
    </w:p>
    <w:p w:rsidR="00C2728F" w:rsidRPr="00AF3C38" w:rsidRDefault="00C2728F" w:rsidP="00C2728F">
      <w:pPr>
        <w:jc w:val="both"/>
      </w:pPr>
      <w:r w:rsidRPr="00AF3C38">
        <w:rPr>
          <w:b/>
          <w:sz w:val="28"/>
          <w:szCs w:val="28"/>
        </w:rPr>
        <w:tab/>
      </w:r>
      <w:r w:rsidRPr="00AF3C38">
        <w:rPr>
          <w:b/>
          <w:sz w:val="28"/>
          <w:szCs w:val="28"/>
        </w:rPr>
        <w:tab/>
      </w:r>
      <w:r w:rsidRPr="00AF3C38">
        <w:rPr>
          <w:b/>
          <w:sz w:val="28"/>
          <w:szCs w:val="28"/>
        </w:rPr>
        <w:tab/>
      </w:r>
      <w:r w:rsidRPr="00AF3C38">
        <w:rPr>
          <w:b/>
          <w:sz w:val="28"/>
          <w:szCs w:val="28"/>
        </w:rPr>
        <w:tab/>
      </w:r>
      <w:r w:rsidRPr="00AF3C38">
        <w:rPr>
          <w:b/>
          <w:sz w:val="28"/>
          <w:szCs w:val="28"/>
        </w:rPr>
        <w:tab/>
      </w:r>
    </w:p>
    <w:p w:rsidR="00C2728F" w:rsidRPr="00AF3C38" w:rsidRDefault="00C2728F" w:rsidP="00C2728F">
      <w:pPr>
        <w:pStyle w:val="Caption"/>
        <w:keepNext/>
        <w:jc w:val="both"/>
      </w:pPr>
    </w:p>
    <w:p w:rsidR="00C2728F" w:rsidRPr="00AF3C38" w:rsidRDefault="00C2728F" w:rsidP="00C2728F">
      <w:pPr>
        <w:jc w:val="both"/>
        <w:rPr>
          <w:b/>
          <w:i/>
          <w:sz w:val="28"/>
          <w:szCs w:val="28"/>
        </w:rPr>
      </w:pPr>
      <w:r w:rsidRPr="00AF3C38">
        <w:rPr>
          <w:b/>
          <w:bCs/>
          <w:i/>
        </w:rPr>
        <w:tab/>
      </w:r>
      <w:r w:rsidRPr="00AF3C38">
        <w:rPr>
          <w:b/>
          <w:bCs/>
          <w:i/>
        </w:rPr>
        <w:tab/>
      </w:r>
      <w:r w:rsidRPr="00AF3C38">
        <w:rPr>
          <w:b/>
          <w:bCs/>
          <w:i/>
        </w:rPr>
        <w:tab/>
      </w:r>
      <w:r w:rsidRPr="00AF3C38">
        <w:rPr>
          <w:b/>
          <w:bCs/>
          <w:i/>
        </w:rPr>
        <w:tab/>
      </w:r>
      <w:r w:rsidRPr="00AF3C38">
        <w:rPr>
          <w:b/>
          <w:bCs/>
          <w:i/>
        </w:rPr>
        <w:tab/>
      </w:r>
      <w:r w:rsidR="00164948">
        <w:rPr>
          <w:b/>
          <w:bCs/>
          <w:i/>
          <w:noProof/>
          <w:lang w:val="et-EE" w:eastAsia="et-EE"/>
        </w:rPr>
        <w:drawing>
          <wp:inline distT="0" distB="0" distL="0" distR="0">
            <wp:extent cx="1028700" cy="1257300"/>
            <wp:effectExtent l="0" t="0" r="0" b="0"/>
            <wp:docPr id="6" name="Picture 1" descr="http://www.rk.ee/symb/vapp/vinni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k.ee/symb/vapp/vinniv.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257300"/>
                    </a:xfrm>
                    <a:prstGeom prst="rect">
                      <a:avLst/>
                    </a:prstGeom>
                    <a:noFill/>
                    <a:ln>
                      <a:noFill/>
                    </a:ln>
                  </pic:spPr>
                </pic:pic>
              </a:graphicData>
            </a:graphic>
          </wp:inline>
        </w:drawing>
      </w:r>
      <w:r w:rsidRPr="00AF3C38">
        <w:rPr>
          <w:b/>
          <w:i/>
          <w:sz w:val="28"/>
          <w:szCs w:val="28"/>
        </w:rPr>
        <w:tab/>
      </w:r>
    </w:p>
    <w:p w:rsidR="00C2728F" w:rsidRPr="00AF3C38" w:rsidRDefault="00C2728F" w:rsidP="00C2728F">
      <w:pPr>
        <w:jc w:val="both"/>
        <w:rPr>
          <w:b/>
          <w:i/>
          <w:sz w:val="28"/>
          <w:szCs w:val="28"/>
        </w:rPr>
      </w:pPr>
    </w:p>
    <w:p w:rsidR="00C2728F" w:rsidRPr="00AF3C38" w:rsidRDefault="00C2728F" w:rsidP="00C2728F">
      <w:pPr>
        <w:jc w:val="both"/>
        <w:rPr>
          <w:b/>
          <w:i/>
          <w:sz w:val="28"/>
          <w:szCs w:val="28"/>
        </w:rPr>
      </w:pPr>
    </w:p>
    <w:p w:rsidR="00C2728F" w:rsidRPr="00AF3C38" w:rsidRDefault="00C2728F" w:rsidP="00C2728F">
      <w:pPr>
        <w:jc w:val="both"/>
        <w:rPr>
          <w:b/>
          <w:i/>
          <w:sz w:val="28"/>
          <w:szCs w:val="28"/>
        </w:rPr>
      </w:pPr>
    </w:p>
    <w:p w:rsidR="00C2728F" w:rsidRPr="00AF3C38" w:rsidRDefault="00C2728F" w:rsidP="00C2728F">
      <w:pPr>
        <w:jc w:val="both"/>
        <w:rPr>
          <w:b/>
          <w:sz w:val="28"/>
          <w:szCs w:val="28"/>
        </w:rPr>
      </w:pPr>
    </w:p>
    <w:p w:rsidR="00C2728F" w:rsidRPr="00AF3C38" w:rsidRDefault="00C2728F" w:rsidP="00C2728F">
      <w:pPr>
        <w:jc w:val="both"/>
        <w:rPr>
          <w:b/>
          <w:sz w:val="28"/>
          <w:szCs w:val="28"/>
        </w:rPr>
      </w:pPr>
    </w:p>
    <w:p w:rsidR="00C2728F" w:rsidRPr="00AF3C38" w:rsidRDefault="00C2728F" w:rsidP="00C2728F">
      <w:pPr>
        <w:jc w:val="both"/>
        <w:rPr>
          <w:b/>
          <w:sz w:val="28"/>
          <w:szCs w:val="28"/>
        </w:rPr>
      </w:pPr>
    </w:p>
    <w:p w:rsidR="00C2728F" w:rsidRPr="00AF3C38" w:rsidRDefault="00C2728F" w:rsidP="00C2728F">
      <w:pPr>
        <w:jc w:val="both"/>
        <w:rPr>
          <w:b/>
          <w:sz w:val="28"/>
          <w:szCs w:val="28"/>
        </w:rPr>
      </w:pPr>
    </w:p>
    <w:p w:rsidR="00C2728F" w:rsidRPr="00AF3C38" w:rsidRDefault="00C2728F" w:rsidP="00C2728F">
      <w:pPr>
        <w:jc w:val="both"/>
        <w:rPr>
          <w:b/>
          <w:sz w:val="28"/>
          <w:szCs w:val="28"/>
        </w:rPr>
      </w:pPr>
      <w:r w:rsidRPr="00AF3C38">
        <w:rPr>
          <w:b/>
          <w:sz w:val="28"/>
          <w:szCs w:val="28"/>
        </w:rPr>
        <w:tab/>
      </w:r>
      <w:r w:rsidRPr="00AF3C38">
        <w:rPr>
          <w:b/>
          <w:sz w:val="28"/>
          <w:szCs w:val="28"/>
        </w:rPr>
        <w:tab/>
        <w:t>V</w:t>
      </w:r>
      <w:r w:rsidR="007438AC">
        <w:rPr>
          <w:b/>
          <w:sz w:val="28"/>
          <w:szCs w:val="28"/>
        </w:rPr>
        <w:t>INNI VALLA EELARVESTRATEEGIA 2020</w:t>
      </w:r>
      <w:r w:rsidRPr="00AF3C38">
        <w:rPr>
          <w:b/>
          <w:sz w:val="28"/>
          <w:szCs w:val="28"/>
        </w:rPr>
        <w:t>-20</w:t>
      </w:r>
      <w:r>
        <w:rPr>
          <w:b/>
          <w:sz w:val="28"/>
          <w:szCs w:val="28"/>
        </w:rPr>
        <w:t>2</w:t>
      </w:r>
      <w:r w:rsidR="007438AC">
        <w:rPr>
          <w:b/>
          <w:sz w:val="28"/>
          <w:szCs w:val="28"/>
        </w:rPr>
        <w:t>3</w:t>
      </w:r>
    </w:p>
    <w:p w:rsidR="00C2728F" w:rsidRPr="00AF3C38" w:rsidRDefault="00C2728F" w:rsidP="00C2728F">
      <w:pPr>
        <w:jc w:val="both"/>
        <w:rPr>
          <w:b/>
          <w:sz w:val="28"/>
          <w:szCs w:val="28"/>
        </w:rPr>
      </w:pPr>
    </w:p>
    <w:p w:rsidR="00C2728F" w:rsidRPr="00AF3C38" w:rsidRDefault="00C2728F" w:rsidP="00C2728F">
      <w:pPr>
        <w:jc w:val="both"/>
      </w:pPr>
    </w:p>
    <w:p w:rsidR="00C2728F" w:rsidRPr="00AF3C38" w:rsidRDefault="00C2728F" w:rsidP="00C2728F">
      <w:pPr>
        <w:jc w:val="both"/>
      </w:pPr>
    </w:p>
    <w:p w:rsidR="00C2728F" w:rsidRPr="00AF3C38" w:rsidRDefault="00C2728F" w:rsidP="00C2728F">
      <w:pPr>
        <w:jc w:val="both"/>
      </w:pPr>
    </w:p>
    <w:p w:rsidR="00C2728F" w:rsidRPr="00AF3C38" w:rsidRDefault="00C2728F" w:rsidP="00C2728F">
      <w:pPr>
        <w:jc w:val="both"/>
      </w:pPr>
    </w:p>
    <w:p w:rsidR="00C2728F" w:rsidRPr="00AF3C38" w:rsidRDefault="00C2728F" w:rsidP="00C2728F">
      <w:pPr>
        <w:jc w:val="both"/>
      </w:pPr>
    </w:p>
    <w:p w:rsidR="00C2728F" w:rsidRDefault="00C2728F" w:rsidP="00326510">
      <w:pPr>
        <w:jc w:val="both"/>
        <w:rPr>
          <w:sz w:val="28"/>
          <w:szCs w:val="28"/>
        </w:rPr>
      </w:pPr>
    </w:p>
    <w:p w:rsidR="00C2728F" w:rsidRDefault="00C2728F" w:rsidP="00326510">
      <w:pPr>
        <w:jc w:val="both"/>
        <w:rPr>
          <w:sz w:val="28"/>
          <w:szCs w:val="28"/>
        </w:rPr>
      </w:pPr>
    </w:p>
    <w:p w:rsidR="00C2728F" w:rsidRDefault="00C2728F" w:rsidP="00326510">
      <w:pPr>
        <w:jc w:val="both"/>
        <w:rPr>
          <w:sz w:val="28"/>
          <w:szCs w:val="28"/>
        </w:rPr>
      </w:pPr>
    </w:p>
    <w:p w:rsidR="00C2728F" w:rsidRDefault="00C2728F" w:rsidP="00326510">
      <w:pPr>
        <w:jc w:val="both"/>
        <w:rPr>
          <w:sz w:val="28"/>
          <w:szCs w:val="28"/>
        </w:rPr>
      </w:pPr>
    </w:p>
    <w:p w:rsidR="00C2728F" w:rsidRDefault="00C2728F" w:rsidP="00326510">
      <w:pPr>
        <w:jc w:val="both"/>
        <w:rPr>
          <w:sz w:val="28"/>
          <w:szCs w:val="28"/>
        </w:rPr>
      </w:pPr>
    </w:p>
    <w:p w:rsidR="00C2728F" w:rsidRDefault="00C2728F" w:rsidP="00326510">
      <w:pPr>
        <w:jc w:val="both"/>
        <w:rPr>
          <w:sz w:val="28"/>
          <w:szCs w:val="28"/>
        </w:rPr>
      </w:pPr>
    </w:p>
    <w:p w:rsidR="00F02794" w:rsidRDefault="00F02794" w:rsidP="00326510">
      <w:pPr>
        <w:jc w:val="both"/>
        <w:rPr>
          <w:sz w:val="28"/>
          <w:szCs w:val="28"/>
        </w:rPr>
      </w:pPr>
    </w:p>
    <w:p w:rsidR="00F02794" w:rsidRDefault="00F02794" w:rsidP="00326510">
      <w:pPr>
        <w:jc w:val="both"/>
        <w:rPr>
          <w:sz w:val="28"/>
          <w:szCs w:val="28"/>
        </w:rPr>
      </w:pPr>
    </w:p>
    <w:p w:rsidR="00F02794" w:rsidRDefault="00F02794" w:rsidP="00326510">
      <w:pPr>
        <w:jc w:val="both"/>
        <w:rPr>
          <w:sz w:val="28"/>
          <w:szCs w:val="28"/>
        </w:rPr>
      </w:pPr>
    </w:p>
    <w:p w:rsidR="007419A7" w:rsidRDefault="007419A7" w:rsidP="00326510">
      <w:pPr>
        <w:jc w:val="both"/>
        <w:rPr>
          <w:sz w:val="28"/>
          <w:szCs w:val="28"/>
        </w:rPr>
      </w:pPr>
    </w:p>
    <w:p w:rsidR="007419A7" w:rsidRDefault="007419A7" w:rsidP="00326510">
      <w:pPr>
        <w:jc w:val="both"/>
        <w:rPr>
          <w:sz w:val="28"/>
          <w:szCs w:val="28"/>
        </w:rPr>
      </w:pPr>
    </w:p>
    <w:sdt>
      <w:sdtPr>
        <w:rPr>
          <w:rFonts w:ascii="Times New Roman" w:eastAsia="Times New Roman" w:hAnsi="Times New Roman" w:cs="Times New Roman"/>
          <w:color w:val="auto"/>
          <w:sz w:val="22"/>
          <w:szCs w:val="22"/>
          <w:lang w:val="et" w:eastAsia="et"/>
        </w:rPr>
        <w:id w:val="-2089602223"/>
        <w:docPartObj>
          <w:docPartGallery w:val="Table of Contents"/>
          <w:docPartUnique/>
        </w:docPartObj>
      </w:sdtPr>
      <w:sdtEndPr>
        <w:rPr>
          <w:b/>
          <w:bCs/>
          <w:noProof/>
        </w:rPr>
      </w:sdtEndPr>
      <w:sdtContent>
        <w:p w:rsidR="001F1FE0" w:rsidRDefault="003802A4">
          <w:pPr>
            <w:pStyle w:val="TOCHeading"/>
          </w:pPr>
          <w:r>
            <w:rPr>
              <w:rFonts w:ascii="Times New Roman" w:eastAsia="Times New Roman" w:hAnsi="Times New Roman" w:cs="Times New Roman"/>
              <w:color w:val="auto"/>
              <w:sz w:val="22"/>
              <w:szCs w:val="22"/>
              <w:lang w:val="et" w:eastAsia="et"/>
            </w:rPr>
            <w:t>SISUKORD</w:t>
          </w:r>
        </w:p>
        <w:p w:rsidR="00577C63" w:rsidRPr="00654DFF" w:rsidRDefault="001F1FE0">
          <w:pPr>
            <w:pStyle w:val="TOC1"/>
            <w:tabs>
              <w:tab w:val="left" w:pos="660"/>
              <w:tab w:val="right" w:leader="dot" w:pos="8830"/>
            </w:tabs>
            <w:rPr>
              <w:rFonts w:asciiTheme="minorHAnsi" w:eastAsiaTheme="minorEastAsia" w:hAnsiTheme="minorHAnsi" w:cstheme="minorBidi"/>
              <w:noProof/>
              <w:sz w:val="22"/>
              <w:szCs w:val="22"/>
              <w:lang w:val="et-EE" w:eastAsia="et-EE"/>
            </w:rPr>
          </w:pPr>
          <w:r>
            <w:rPr>
              <w:b/>
              <w:bCs/>
              <w:noProof/>
            </w:rPr>
            <w:fldChar w:fldCharType="begin"/>
          </w:r>
          <w:r>
            <w:rPr>
              <w:b/>
              <w:bCs/>
              <w:noProof/>
            </w:rPr>
            <w:instrText xml:space="preserve"> TOC \o "1-3" \h \z \u </w:instrText>
          </w:r>
          <w:r>
            <w:rPr>
              <w:b/>
              <w:bCs/>
              <w:noProof/>
            </w:rPr>
            <w:fldChar w:fldCharType="separate"/>
          </w:r>
          <w:hyperlink w:anchor="_Toc22542295" w:history="1">
            <w:r w:rsidR="00577C63" w:rsidRPr="00654DFF">
              <w:rPr>
                <w:rStyle w:val="Hyperlink"/>
                <w:noProof/>
              </w:rPr>
              <w:t>1.</w:t>
            </w:r>
            <w:r w:rsidR="00577C63" w:rsidRPr="00654DFF">
              <w:rPr>
                <w:rFonts w:asciiTheme="minorHAnsi" w:eastAsiaTheme="minorEastAsia" w:hAnsiTheme="minorHAnsi" w:cstheme="minorBidi"/>
                <w:noProof/>
                <w:sz w:val="22"/>
                <w:szCs w:val="22"/>
                <w:lang w:val="et-EE" w:eastAsia="et-EE"/>
              </w:rPr>
              <w:tab/>
            </w:r>
            <w:r w:rsidR="00577C63" w:rsidRPr="00654DFF">
              <w:rPr>
                <w:rStyle w:val="Hyperlink"/>
                <w:noProof/>
              </w:rPr>
              <w:t>Sissejuhatus.</w:t>
            </w:r>
            <w:r w:rsidR="00577C63" w:rsidRPr="00654DFF">
              <w:rPr>
                <w:noProof/>
                <w:webHidden/>
              </w:rPr>
              <w:tab/>
            </w:r>
            <w:r w:rsidR="00577C63" w:rsidRPr="00654DFF">
              <w:rPr>
                <w:noProof/>
                <w:webHidden/>
              </w:rPr>
              <w:fldChar w:fldCharType="begin"/>
            </w:r>
            <w:r w:rsidR="00577C63" w:rsidRPr="00654DFF">
              <w:rPr>
                <w:noProof/>
                <w:webHidden/>
              </w:rPr>
              <w:instrText xml:space="preserve"> PAGEREF _Toc22542295 \h </w:instrText>
            </w:r>
            <w:r w:rsidR="00577C63" w:rsidRPr="00654DFF">
              <w:rPr>
                <w:noProof/>
                <w:webHidden/>
              </w:rPr>
            </w:r>
            <w:r w:rsidR="00577C63" w:rsidRPr="00654DFF">
              <w:rPr>
                <w:noProof/>
                <w:webHidden/>
              </w:rPr>
              <w:fldChar w:fldCharType="separate"/>
            </w:r>
            <w:r w:rsidR="00926E8E">
              <w:rPr>
                <w:noProof/>
                <w:webHidden/>
              </w:rPr>
              <w:t>3</w:t>
            </w:r>
            <w:r w:rsidR="00577C63" w:rsidRPr="00654DFF">
              <w:rPr>
                <w:noProof/>
                <w:webHidden/>
              </w:rPr>
              <w:fldChar w:fldCharType="end"/>
            </w:r>
          </w:hyperlink>
        </w:p>
        <w:p w:rsidR="00577C63" w:rsidRPr="00654DFF" w:rsidRDefault="00037359">
          <w:pPr>
            <w:pStyle w:val="TOC1"/>
            <w:tabs>
              <w:tab w:val="left" w:pos="660"/>
              <w:tab w:val="right" w:leader="dot" w:pos="8830"/>
            </w:tabs>
            <w:rPr>
              <w:rFonts w:asciiTheme="minorHAnsi" w:eastAsiaTheme="minorEastAsia" w:hAnsiTheme="minorHAnsi" w:cstheme="minorBidi"/>
              <w:noProof/>
              <w:sz w:val="22"/>
              <w:szCs w:val="22"/>
              <w:lang w:val="et-EE" w:eastAsia="et-EE"/>
            </w:rPr>
          </w:pPr>
          <w:hyperlink w:anchor="_Toc22542296" w:history="1">
            <w:r w:rsidR="00577C63" w:rsidRPr="00654DFF">
              <w:rPr>
                <w:rStyle w:val="Hyperlink"/>
                <w:noProof/>
              </w:rPr>
              <w:t>2.</w:t>
            </w:r>
            <w:r w:rsidR="00577C63" w:rsidRPr="00654DFF">
              <w:rPr>
                <w:rFonts w:asciiTheme="minorHAnsi" w:eastAsiaTheme="minorEastAsia" w:hAnsiTheme="minorHAnsi" w:cstheme="minorBidi"/>
                <w:noProof/>
                <w:sz w:val="22"/>
                <w:szCs w:val="22"/>
                <w:lang w:val="et-EE" w:eastAsia="et-EE"/>
              </w:rPr>
              <w:tab/>
            </w:r>
            <w:r w:rsidR="00577C63" w:rsidRPr="00654DFF">
              <w:rPr>
                <w:rStyle w:val="Hyperlink"/>
                <w:noProof/>
              </w:rPr>
              <w:t>Majanduslik olukord riigis.</w:t>
            </w:r>
            <w:r w:rsidR="00577C63" w:rsidRPr="00654DFF">
              <w:rPr>
                <w:noProof/>
                <w:webHidden/>
              </w:rPr>
              <w:tab/>
            </w:r>
            <w:r w:rsidR="00577C63" w:rsidRPr="00654DFF">
              <w:rPr>
                <w:noProof/>
                <w:webHidden/>
              </w:rPr>
              <w:fldChar w:fldCharType="begin"/>
            </w:r>
            <w:r w:rsidR="00577C63" w:rsidRPr="00654DFF">
              <w:rPr>
                <w:noProof/>
                <w:webHidden/>
              </w:rPr>
              <w:instrText xml:space="preserve"> PAGEREF _Toc22542296 \h </w:instrText>
            </w:r>
            <w:r w:rsidR="00577C63" w:rsidRPr="00654DFF">
              <w:rPr>
                <w:noProof/>
                <w:webHidden/>
              </w:rPr>
            </w:r>
            <w:r w:rsidR="00577C63" w:rsidRPr="00654DFF">
              <w:rPr>
                <w:noProof/>
                <w:webHidden/>
              </w:rPr>
              <w:fldChar w:fldCharType="separate"/>
            </w:r>
            <w:r w:rsidR="00926E8E">
              <w:rPr>
                <w:noProof/>
                <w:webHidden/>
              </w:rPr>
              <w:t>4</w:t>
            </w:r>
            <w:r w:rsidR="00577C63" w:rsidRPr="00654DFF">
              <w:rPr>
                <w:noProof/>
                <w:webHidden/>
              </w:rPr>
              <w:fldChar w:fldCharType="end"/>
            </w:r>
          </w:hyperlink>
        </w:p>
        <w:p w:rsidR="00577C63" w:rsidRPr="00654DFF" w:rsidRDefault="00037359">
          <w:pPr>
            <w:pStyle w:val="TOC1"/>
            <w:tabs>
              <w:tab w:val="left" w:pos="880"/>
              <w:tab w:val="right" w:leader="dot" w:pos="8830"/>
            </w:tabs>
            <w:rPr>
              <w:rFonts w:asciiTheme="minorHAnsi" w:eastAsiaTheme="minorEastAsia" w:hAnsiTheme="minorHAnsi" w:cstheme="minorBidi"/>
              <w:noProof/>
              <w:sz w:val="22"/>
              <w:szCs w:val="22"/>
              <w:lang w:val="et-EE" w:eastAsia="et-EE"/>
            </w:rPr>
          </w:pPr>
          <w:hyperlink w:anchor="_Toc22542297" w:history="1">
            <w:r w:rsidR="00577C63" w:rsidRPr="00654DFF">
              <w:rPr>
                <w:rStyle w:val="Hyperlink"/>
                <w:noProof/>
              </w:rPr>
              <w:t>2.1.</w:t>
            </w:r>
            <w:r w:rsidR="00577C63" w:rsidRPr="00654DFF">
              <w:rPr>
                <w:rFonts w:asciiTheme="minorHAnsi" w:eastAsiaTheme="minorEastAsia" w:hAnsiTheme="minorHAnsi" w:cstheme="minorBidi"/>
                <w:noProof/>
                <w:sz w:val="22"/>
                <w:szCs w:val="22"/>
                <w:lang w:val="et-EE" w:eastAsia="et-EE"/>
              </w:rPr>
              <w:tab/>
            </w:r>
            <w:r w:rsidR="00577C63" w:rsidRPr="00654DFF">
              <w:rPr>
                <w:rStyle w:val="Hyperlink"/>
                <w:noProof/>
              </w:rPr>
              <w:t>Vinni valla ülevaade.</w:t>
            </w:r>
            <w:r w:rsidR="00577C63" w:rsidRPr="00654DFF">
              <w:rPr>
                <w:noProof/>
                <w:webHidden/>
              </w:rPr>
              <w:tab/>
            </w:r>
            <w:r w:rsidR="00577C63" w:rsidRPr="00654DFF">
              <w:rPr>
                <w:noProof/>
                <w:webHidden/>
              </w:rPr>
              <w:fldChar w:fldCharType="begin"/>
            </w:r>
            <w:r w:rsidR="00577C63" w:rsidRPr="00654DFF">
              <w:rPr>
                <w:noProof/>
                <w:webHidden/>
              </w:rPr>
              <w:instrText xml:space="preserve"> PAGEREF _Toc22542297 \h </w:instrText>
            </w:r>
            <w:r w:rsidR="00577C63" w:rsidRPr="00654DFF">
              <w:rPr>
                <w:noProof/>
                <w:webHidden/>
              </w:rPr>
            </w:r>
            <w:r w:rsidR="00577C63" w:rsidRPr="00654DFF">
              <w:rPr>
                <w:noProof/>
                <w:webHidden/>
              </w:rPr>
              <w:fldChar w:fldCharType="separate"/>
            </w:r>
            <w:r w:rsidR="00926E8E">
              <w:rPr>
                <w:noProof/>
                <w:webHidden/>
              </w:rPr>
              <w:t>5</w:t>
            </w:r>
            <w:r w:rsidR="00577C63" w:rsidRPr="00654DFF">
              <w:rPr>
                <w:noProof/>
                <w:webHidden/>
              </w:rPr>
              <w:fldChar w:fldCharType="end"/>
            </w:r>
          </w:hyperlink>
        </w:p>
        <w:p w:rsidR="00577C63" w:rsidRPr="00654DFF" w:rsidRDefault="00037359">
          <w:pPr>
            <w:pStyle w:val="TOC1"/>
            <w:tabs>
              <w:tab w:val="left" w:pos="660"/>
              <w:tab w:val="right" w:leader="dot" w:pos="8830"/>
            </w:tabs>
            <w:rPr>
              <w:rFonts w:asciiTheme="minorHAnsi" w:eastAsiaTheme="minorEastAsia" w:hAnsiTheme="minorHAnsi" w:cstheme="minorBidi"/>
              <w:noProof/>
              <w:sz w:val="22"/>
              <w:szCs w:val="22"/>
              <w:lang w:val="et-EE" w:eastAsia="et-EE"/>
            </w:rPr>
          </w:pPr>
          <w:hyperlink w:anchor="_Toc22542298" w:history="1">
            <w:r w:rsidR="00577C63" w:rsidRPr="00654DFF">
              <w:rPr>
                <w:rStyle w:val="Hyperlink"/>
                <w:noProof/>
              </w:rPr>
              <w:t>3.</w:t>
            </w:r>
            <w:r w:rsidR="00577C63" w:rsidRPr="00654DFF">
              <w:rPr>
                <w:rFonts w:asciiTheme="minorHAnsi" w:eastAsiaTheme="minorEastAsia" w:hAnsiTheme="minorHAnsi" w:cstheme="minorBidi"/>
                <w:noProof/>
                <w:sz w:val="22"/>
                <w:szCs w:val="22"/>
                <w:lang w:val="et-EE" w:eastAsia="et-EE"/>
              </w:rPr>
              <w:tab/>
            </w:r>
            <w:r w:rsidR="00577C63" w:rsidRPr="00654DFF">
              <w:rPr>
                <w:rStyle w:val="Hyperlink"/>
                <w:noProof/>
              </w:rPr>
              <w:t>Eelarvestrateegia eelarveosad</w:t>
            </w:r>
            <w:r w:rsidR="00577C63" w:rsidRPr="00654DFF">
              <w:rPr>
                <w:noProof/>
                <w:webHidden/>
              </w:rPr>
              <w:tab/>
            </w:r>
            <w:r w:rsidR="00577C63" w:rsidRPr="00654DFF">
              <w:rPr>
                <w:noProof/>
                <w:webHidden/>
              </w:rPr>
              <w:fldChar w:fldCharType="begin"/>
            </w:r>
            <w:r w:rsidR="00577C63" w:rsidRPr="00654DFF">
              <w:rPr>
                <w:noProof/>
                <w:webHidden/>
              </w:rPr>
              <w:instrText xml:space="preserve"> PAGEREF _Toc22542298 \h </w:instrText>
            </w:r>
            <w:r w:rsidR="00577C63" w:rsidRPr="00654DFF">
              <w:rPr>
                <w:noProof/>
                <w:webHidden/>
              </w:rPr>
            </w:r>
            <w:r w:rsidR="00577C63" w:rsidRPr="00654DFF">
              <w:rPr>
                <w:noProof/>
                <w:webHidden/>
              </w:rPr>
              <w:fldChar w:fldCharType="separate"/>
            </w:r>
            <w:r w:rsidR="00926E8E">
              <w:rPr>
                <w:noProof/>
                <w:webHidden/>
              </w:rPr>
              <w:t>6</w:t>
            </w:r>
            <w:r w:rsidR="00577C63" w:rsidRPr="00654DFF">
              <w:rPr>
                <w:noProof/>
                <w:webHidden/>
              </w:rPr>
              <w:fldChar w:fldCharType="end"/>
            </w:r>
          </w:hyperlink>
        </w:p>
        <w:p w:rsidR="00577C63" w:rsidRPr="00654DFF" w:rsidRDefault="00037359">
          <w:pPr>
            <w:pStyle w:val="TOC1"/>
            <w:tabs>
              <w:tab w:val="left" w:pos="880"/>
              <w:tab w:val="right" w:leader="dot" w:pos="8830"/>
            </w:tabs>
            <w:rPr>
              <w:rFonts w:asciiTheme="minorHAnsi" w:eastAsiaTheme="minorEastAsia" w:hAnsiTheme="minorHAnsi" w:cstheme="minorBidi"/>
              <w:noProof/>
              <w:sz w:val="22"/>
              <w:szCs w:val="22"/>
              <w:lang w:val="et-EE" w:eastAsia="et-EE"/>
            </w:rPr>
          </w:pPr>
          <w:hyperlink w:anchor="_Toc22542299" w:history="1">
            <w:r w:rsidR="00577C63" w:rsidRPr="00654DFF">
              <w:rPr>
                <w:rStyle w:val="Hyperlink"/>
                <w:noProof/>
              </w:rPr>
              <w:t>3.1.</w:t>
            </w:r>
            <w:r w:rsidR="00577C63" w:rsidRPr="00654DFF">
              <w:rPr>
                <w:rFonts w:asciiTheme="minorHAnsi" w:eastAsiaTheme="minorEastAsia" w:hAnsiTheme="minorHAnsi" w:cstheme="minorBidi"/>
                <w:noProof/>
                <w:sz w:val="22"/>
                <w:szCs w:val="22"/>
                <w:lang w:val="et-EE" w:eastAsia="et-EE"/>
              </w:rPr>
              <w:tab/>
            </w:r>
            <w:r w:rsidR="00577C63" w:rsidRPr="00654DFF">
              <w:rPr>
                <w:rStyle w:val="Hyperlink"/>
                <w:noProof/>
              </w:rPr>
              <w:t>Põhitegevuse tulud</w:t>
            </w:r>
            <w:r w:rsidR="00577C63" w:rsidRPr="00654DFF">
              <w:rPr>
                <w:noProof/>
                <w:webHidden/>
              </w:rPr>
              <w:tab/>
            </w:r>
            <w:r w:rsidR="00577C63" w:rsidRPr="00654DFF">
              <w:rPr>
                <w:noProof/>
                <w:webHidden/>
              </w:rPr>
              <w:fldChar w:fldCharType="begin"/>
            </w:r>
            <w:r w:rsidR="00577C63" w:rsidRPr="00654DFF">
              <w:rPr>
                <w:noProof/>
                <w:webHidden/>
              </w:rPr>
              <w:instrText xml:space="preserve"> PAGEREF _Toc22542299 \h </w:instrText>
            </w:r>
            <w:r w:rsidR="00577C63" w:rsidRPr="00654DFF">
              <w:rPr>
                <w:noProof/>
                <w:webHidden/>
              </w:rPr>
            </w:r>
            <w:r w:rsidR="00577C63" w:rsidRPr="00654DFF">
              <w:rPr>
                <w:noProof/>
                <w:webHidden/>
              </w:rPr>
              <w:fldChar w:fldCharType="separate"/>
            </w:r>
            <w:r w:rsidR="00926E8E">
              <w:rPr>
                <w:noProof/>
                <w:webHidden/>
              </w:rPr>
              <w:t>6</w:t>
            </w:r>
            <w:r w:rsidR="00577C63" w:rsidRPr="00654DFF">
              <w:rPr>
                <w:noProof/>
                <w:webHidden/>
              </w:rPr>
              <w:fldChar w:fldCharType="end"/>
            </w:r>
          </w:hyperlink>
        </w:p>
        <w:p w:rsidR="00577C63" w:rsidRPr="00654DFF" w:rsidRDefault="00037359">
          <w:pPr>
            <w:pStyle w:val="TOC1"/>
            <w:tabs>
              <w:tab w:val="left" w:pos="880"/>
              <w:tab w:val="right" w:leader="dot" w:pos="8830"/>
            </w:tabs>
            <w:rPr>
              <w:rFonts w:asciiTheme="minorHAnsi" w:eastAsiaTheme="minorEastAsia" w:hAnsiTheme="minorHAnsi" w:cstheme="minorBidi"/>
              <w:noProof/>
              <w:sz w:val="22"/>
              <w:szCs w:val="22"/>
              <w:lang w:val="et-EE" w:eastAsia="et-EE"/>
            </w:rPr>
          </w:pPr>
          <w:hyperlink w:anchor="_Toc22542300" w:history="1">
            <w:r w:rsidR="00577C63" w:rsidRPr="00654DFF">
              <w:rPr>
                <w:rStyle w:val="Hyperlink"/>
                <w:noProof/>
              </w:rPr>
              <w:t>3.2.</w:t>
            </w:r>
            <w:r w:rsidR="00577C63" w:rsidRPr="00654DFF">
              <w:rPr>
                <w:rFonts w:asciiTheme="minorHAnsi" w:eastAsiaTheme="minorEastAsia" w:hAnsiTheme="minorHAnsi" w:cstheme="minorBidi"/>
                <w:noProof/>
                <w:sz w:val="22"/>
                <w:szCs w:val="22"/>
                <w:lang w:val="et-EE" w:eastAsia="et-EE"/>
              </w:rPr>
              <w:tab/>
            </w:r>
            <w:r w:rsidR="00577C63" w:rsidRPr="00654DFF">
              <w:rPr>
                <w:rStyle w:val="Hyperlink"/>
                <w:noProof/>
              </w:rPr>
              <w:t>Põhitegevuse kulud</w:t>
            </w:r>
            <w:r w:rsidR="00577C63" w:rsidRPr="00654DFF">
              <w:rPr>
                <w:noProof/>
                <w:webHidden/>
              </w:rPr>
              <w:tab/>
            </w:r>
            <w:r w:rsidR="00577C63" w:rsidRPr="00654DFF">
              <w:rPr>
                <w:noProof/>
                <w:webHidden/>
              </w:rPr>
              <w:fldChar w:fldCharType="begin"/>
            </w:r>
            <w:r w:rsidR="00577C63" w:rsidRPr="00654DFF">
              <w:rPr>
                <w:noProof/>
                <w:webHidden/>
              </w:rPr>
              <w:instrText xml:space="preserve"> PAGEREF _Toc22542300 \h </w:instrText>
            </w:r>
            <w:r w:rsidR="00577C63" w:rsidRPr="00654DFF">
              <w:rPr>
                <w:noProof/>
                <w:webHidden/>
              </w:rPr>
            </w:r>
            <w:r w:rsidR="00577C63" w:rsidRPr="00654DFF">
              <w:rPr>
                <w:noProof/>
                <w:webHidden/>
              </w:rPr>
              <w:fldChar w:fldCharType="separate"/>
            </w:r>
            <w:r w:rsidR="00926E8E">
              <w:rPr>
                <w:noProof/>
                <w:webHidden/>
              </w:rPr>
              <w:t>7</w:t>
            </w:r>
            <w:r w:rsidR="00577C63" w:rsidRPr="00654DFF">
              <w:rPr>
                <w:noProof/>
                <w:webHidden/>
              </w:rPr>
              <w:fldChar w:fldCharType="end"/>
            </w:r>
          </w:hyperlink>
        </w:p>
        <w:p w:rsidR="00577C63" w:rsidRPr="00654DFF" w:rsidRDefault="00037359">
          <w:pPr>
            <w:pStyle w:val="TOC1"/>
            <w:tabs>
              <w:tab w:val="left" w:pos="880"/>
              <w:tab w:val="right" w:leader="dot" w:pos="8830"/>
            </w:tabs>
            <w:rPr>
              <w:rFonts w:asciiTheme="minorHAnsi" w:eastAsiaTheme="minorEastAsia" w:hAnsiTheme="minorHAnsi" w:cstheme="minorBidi"/>
              <w:noProof/>
              <w:sz w:val="22"/>
              <w:szCs w:val="22"/>
              <w:lang w:val="et-EE" w:eastAsia="et-EE"/>
            </w:rPr>
          </w:pPr>
          <w:hyperlink w:anchor="_Toc22542301" w:history="1">
            <w:r w:rsidR="00577C63" w:rsidRPr="00654DFF">
              <w:rPr>
                <w:rStyle w:val="Hyperlink"/>
                <w:noProof/>
              </w:rPr>
              <w:t>3.3.</w:t>
            </w:r>
            <w:r w:rsidR="00577C63" w:rsidRPr="00654DFF">
              <w:rPr>
                <w:rFonts w:asciiTheme="minorHAnsi" w:eastAsiaTheme="minorEastAsia" w:hAnsiTheme="minorHAnsi" w:cstheme="minorBidi"/>
                <w:noProof/>
                <w:sz w:val="22"/>
                <w:szCs w:val="22"/>
                <w:lang w:val="et-EE" w:eastAsia="et-EE"/>
              </w:rPr>
              <w:tab/>
            </w:r>
            <w:r w:rsidR="00577C63" w:rsidRPr="00654DFF">
              <w:rPr>
                <w:rStyle w:val="Hyperlink"/>
                <w:noProof/>
              </w:rPr>
              <w:t>Põhitegevuse tulem</w:t>
            </w:r>
            <w:r w:rsidR="00577C63" w:rsidRPr="00654DFF">
              <w:rPr>
                <w:noProof/>
                <w:webHidden/>
              </w:rPr>
              <w:tab/>
            </w:r>
            <w:r w:rsidR="00577C63" w:rsidRPr="00654DFF">
              <w:rPr>
                <w:noProof/>
                <w:webHidden/>
              </w:rPr>
              <w:fldChar w:fldCharType="begin"/>
            </w:r>
            <w:r w:rsidR="00577C63" w:rsidRPr="00654DFF">
              <w:rPr>
                <w:noProof/>
                <w:webHidden/>
              </w:rPr>
              <w:instrText xml:space="preserve"> PAGEREF _Toc22542301 \h </w:instrText>
            </w:r>
            <w:r w:rsidR="00577C63" w:rsidRPr="00654DFF">
              <w:rPr>
                <w:noProof/>
                <w:webHidden/>
              </w:rPr>
            </w:r>
            <w:r w:rsidR="00577C63" w:rsidRPr="00654DFF">
              <w:rPr>
                <w:noProof/>
                <w:webHidden/>
              </w:rPr>
              <w:fldChar w:fldCharType="separate"/>
            </w:r>
            <w:r w:rsidR="00926E8E">
              <w:rPr>
                <w:noProof/>
                <w:webHidden/>
              </w:rPr>
              <w:t>7</w:t>
            </w:r>
            <w:r w:rsidR="00577C63" w:rsidRPr="00654DFF">
              <w:rPr>
                <w:noProof/>
                <w:webHidden/>
              </w:rPr>
              <w:fldChar w:fldCharType="end"/>
            </w:r>
          </w:hyperlink>
        </w:p>
        <w:p w:rsidR="00577C63" w:rsidRPr="00654DFF" w:rsidRDefault="00037359">
          <w:pPr>
            <w:pStyle w:val="TOC1"/>
            <w:tabs>
              <w:tab w:val="left" w:pos="880"/>
              <w:tab w:val="right" w:leader="dot" w:pos="8830"/>
            </w:tabs>
            <w:rPr>
              <w:rFonts w:asciiTheme="minorHAnsi" w:eastAsiaTheme="minorEastAsia" w:hAnsiTheme="minorHAnsi" w:cstheme="minorBidi"/>
              <w:noProof/>
              <w:sz w:val="22"/>
              <w:szCs w:val="22"/>
              <w:lang w:val="et-EE" w:eastAsia="et-EE"/>
            </w:rPr>
          </w:pPr>
          <w:hyperlink w:anchor="_Toc22542302" w:history="1">
            <w:r w:rsidR="00577C63" w:rsidRPr="00654DFF">
              <w:rPr>
                <w:rStyle w:val="Hyperlink"/>
                <w:noProof/>
              </w:rPr>
              <w:t>3.4.</w:t>
            </w:r>
            <w:r w:rsidR="00577C63" w:rsidRPr="00654DFF">
              <w:rPr>
                <w:rFonts w:asciiTheme="minorHAnsi" w:eastAsiaTheme="minorEastAsia" w:hAnsiTheme="minorHAnsi" w:cstheme="minorBidi"/>
                <w:noProof/>
                <w:sz w:val="22"/>
                <w:szCs w:val="22"/>
                <w:lang w:val="et-EE" w:eastAsia="et-EE"/>
              </w:rPr>
              <w:tab/>
            </w:r>
            <w:r w:rsidR="00577C63" w:rsidRPr="00654DFF">
              <w:rPr>
                <w:rStyle w:val="Hyperlink"/>
                <w:noProof/>
              </w:rPr>
              <w:t>Investeerimistegevus</w:t>
            </w:r>
            <w:r w:rsidR="00577C63" w:rsidRPr="00654DFF">
              <w:rPr>
                <w:noProof/>
                <w:webHidden/>
              </w:rPr>
              <w:tab/>
            </w:r>
            <w:r w:rsidR="00577C63" w:rsidRPr="00654DFF">
              <w:rPr>
                <w:noProof/>
                <w:webHidden/>
              </w:rPr>
              <w:fldChar w:fldCharType="begin"/>
            </w:r>
            <w:r w:rsidR="00577C63" w:rsidRPr="00654DFF">
              <w:rPr>
                <w:noProof/>
                <w:webHidden/>
              </w:rPr>
              <w:instrText xml:space="preserve"> PAGEREF _Toc22542302 \h </w:instrText>
            </w:r>
            <w:r w:rsidR="00577C63" w:rsidRPr="00654DFF">
              <w:rPr>
                <w:noProof/>
                <w:webHidden/>
              </w:rPr>
            </w:r>
            <w:r w:rsidR="00577C63" w:rsidRPr="00654DFF">
              <w:rPr>
                <w:noProof/>
                <w:webHidden/>
              </w:rPr>
              <w:fldChar w:fldCharType="separate"/>
            </w:r>
            <w:r w:rsidR="00926E8E">
              <w:rPr>
                <w:noProof/>
                <w:webHidden/>
              </w:rPr>
              <w:t>8</w:t>
            </w:r>
            <w:r w:rsidR="00577C63" w:rsidRPr="00654DFF">
              <w:rPr>
                <w:noProof/>
                <w:webHidden/>
              </w:rPr>
              <w:fldChar w:fldCharType="end"/>
            </w:r>
          </w:hyperlink>
        </w:p>
        <w:p w:rsidR="00577C63" w:rsidRPr="00654DFF" w:rsidRDefault="00037359">
          <w:pPr>
            <w:pStyle w:val="TOC1"/>
            <w:tabs>
              <w:tab w:val="left" w:pos="880"/>
              <w:tab w:val="right" w:leader="dot" w:pos="8830"/>
            </w:tabs>
            <w:rPr>
              <w:rFonts w:asciiTheme="minorHAnsi" w:eastAsiaTheme="minorEastAsia" w:hAnsiTheme="minorHAnsi" w:cstheme="minorBidi"/>
              <w:noProof/>
              <w:sz w:val="22"/>
              <w:szCs w:val="22"/>
              <w:lang w:val="et-EE" w:eastAsia="et-EE"/>
            </w:rPr>
          </w:pPr>
          <w:hyperlink w:anchor="_Toc22542303" w:history="1">
            <w:r w:rsidR="00577C63" w:rsidRPr="00654DFF">
              <w:rPr>
                <w:rStyle w:val="Hyperlink"/>
                <w:noProof/>
              </w:rPr>
              <w:t>3.5.</w:t>
            </w:r>
            <w:r w:rsidR="00577C63" w:rsidRPr="00654DFF">
              <w:rPr>
                <w:rFonts w:asciiTheme="minorHAnsi" w:eastAsiaTheme="minorEastAsia" w:hAnsiTheme="minorHAnsi" w:cstheme="minorBidi"/>
                <w:noProof/>
                <w:sz w:val="22"/>
                <w:szCs w:val="22"/>
                <w:lang w:val="et-EE" w:eastAsia="et-EE"/>
              </w:rPr>
              <w:tab/>
            </w:r>
            <w:r w:rsidR="00577C63" w:rsidRPr="00654DFF">
              <w:rPr>
                <w:rStyle w:val="Hyperlink"/>
                <w:noProof/>
              </w:rPr>
              <w:t>Finantseerimistegevus</w:t>
            </w:r>
            <w:r w:rsidR="00577C63" w:rsidRPr="00654DFF">
              <w:rPr>
                <w:noProof/>
                <w:webHidden/>
              </w:rPr>
              <w:tab/>
            </w:r>
            <w:r w:rsidR="00577C63" w:rsidRPr="00654DFF">
              <w:rPr>
                <w:noProof/>
                <w:webHidden/>
              </w:rPr>
              <w:fldChar w:fldCharType="begin"/>
            </w:r>
            <w:r w:rsidR="00577C63" w:rsidRPr="00654DFF">
              <w:rPr>
                <w:noProof/>
                <w:webHidden/>
              </w:rPr>
              <w:instrText xml:space="preserve"> PAGEREF _Toc22542303 \h </w:instrText>
            </w:r>
            <w:r w:rsidR="00577C63" w:rsidRPr="00654DFF">
              <w:rPr>
                <w:noProof/>
                <w:webHidden/>
              </w:rPr>
            </w:r>
            <w:r w:rsidR="00577C63" w:rsidRPr="00654DFF">
              <w:rPr>
                <w:noProof/>
                <w:webHidden/>
              </w:rPr>
              <w:fldChar w:fldCharType="separate"/>
            </w:r>
            <w:r w:rsidR="00926E8E">
              <w:rPr>
                <w:noProof/>
                <w:webHidden/>
              </w:rPr>
              <w:t>11</w:t>
            </w:r>
            <w:r w:rsidR="00577C63" w:rsidRPr="00654DFF">
              <w:rPr>
                <w:noProof/>
                <w:webHidden/>
              </w:rPr>
              <w:fldChar w:fldCharType="end"/>
            </w:r>
          </w:hyperlink>
        </w:p>
        <w:p w:rsidR="00577C63" w:rsidRPr="00654DFF" w:rsidRDefault="00037359">
          <w:pPr>
            <w:pStyle w:val="TOC1"/>
            <w:tabs>
              <w:tab w:val="left" w:pos="880"/>
              <w:tab w:val="right" w:leader="dot" w:pos="8830"/>
            </w:tabs>
            <w:rPr>
              <w:rFonts w:asciiTheme="minorHAnsi" w:eastAsiaTheme="minorEastAsia" w:hAnsiTheme="minorHAnsi" w:cstheme="minorBidi"/>
              <w:noProof/>
              <w:sz w:val="22"/>
              <w:szCs w:val="22"/>
              <w:lang w:val="et-EE" w:eastAsia="et-EE"/>
            </w:rPr>
          </w:pPr>
          <w:hyperlink w:anchor="_Toc22542304" w:history="1">
            <w:r w:rsidR="00577C63" w:rsidRPr="00654DFF">
              <w:rPr>
                <w:rStyle w:val="Hyperlink"/>
                <w:noProof/>
              </w:rPr>
              <w:t>3.6.</w:t>
            </w:r>
            <w:r w:rsidR="00577C63" w:rsidRPr="00654DFF">
              <w:rPr>
                <w:rFonts w:asciiTheme="minorHAnsi" w:eastAsiaTheme="minorEastAsia" w:hAnsiTheme="minorHAnsi" w:cstheme="minorBidi"/>
                <w:noProof/>
                <w:sz w:val="22"/>
                <w:szCs w:val="22"/>
                <w:lang w:val="et-EE" w:eastAsia="et-EE"/>
              </w:rPr>
              <w:tab/>
            </w:r>
            <w:r w:rsidR="00577C63" w:rsidRPr="00654DFF">
              <w:rPr>
                <w:rStyle w:val="Hyperlink"/>
                <w:noProof/>
              </w:rPr>
              <w:t>Netovõlakoormus</w:t>
            </w:r>
            <w:r w:rsidR="00577C63" w:rsidRPr="00654DFF">
              <w:rPr>
                <w:noProof/>
                <w:webHidden/>
              </w:rPr>
              <w:tab/>
            </w:r>
            <w:r w:rsidR="00577C63" w:rsidRPr="00654DFF">
              <w:rPr>
                <w:noProof/>
                <w:webHidden/>
              </w:rPr>
              <w:fldChar w:fldCharType="begin"/>
            </w:r>
            <w:r w:rsidR="00577C63" w:rsidRPr="00654DFF">
              <w:rPr>
                <w:noProof/>
                <w:webHidden/>
              </w:rPr>
              <w:instrText xml:space="preserve"> PAGEREF _Toc22542304 \h </w:instrText>
            </w:r>
            <w:r w:rsidR="00577C63" w:rsidRPr="00654DFF">
              <w:rPr>
                <w:noProof/>
                <w:webHidden/>
              </w:rPr>
            </w:r>
            <w:r w:rsidR="00577C63" w:rsidRPr="00654DFF">
              <w:rPr>
                <w:noProof/>
                <w:webHidden/>
              </w:rPr>
              <w:fldChar w:fldCharType="separate"/>
            </w:r>
            <w:r w:rsidR="00926E8E">
              <w:rPr>
                <w:noProof/>
                <w:webHidden/>
              </w:rPr>
              <w:t>12</w:t>
            </w:r>
            <w:r w:rsidR="00577C63" w:rsidRPr="00654DFF">
              <w:rPr>
                <w:noProof/>
                <w:webHidden/>
              </w:rPr>
              <w:fldChar w:fldCharType="end"/>
            </w:r>
          </w:hyperlink>
        </w:p>
        <w:p w:rsidR="00577C63" w:rsidRPr="00654DFF" w:rsidRDefault="00037359">
          <w:pPr>
            <w:pStyle w:val="TOC1"/>
            <w:tabs>
              <w:tab w:val="left" w:pos="880"/>
              <w:tab w:val="right" w:leader="dot" w:pos="8830"/>
            </w:tabs>
            <w:rPr>
              <w:rFonts w:asciiTheme="minorHAnsi" w:eastAsiaTheme="minorEastAsia" w:hAnsiTheme="minorHAnsi" w:cstheme="minorBidi"/>
              <w:noProof/>
              <w:sz w:val="22"/>
              <w:szCs w:val="22"/>
              <w:lang w:val="et-EE" w:eastAsia="et-EE"/>
            </w:rPr>
          </w:pPr>
          <w:hyperlink w:anchor="_Toc22542305" w:history="1">
            <w:r w:rsidR="00577C63" w:rsidRPr="00654DFF">
              <w:rPr>
                <w:rStyle w:val="Hyperlink"/>
                <w:noProof/>
              </w:rPr>
              <w:t>3.7.</w:t>
            </w:r>
            <w:r w:rsidR="00577C63" w:rsidRPr="00654DFF">
              <w:rPr>
                <w:rFonts w:asciiTheme="minorHAnsi" w:eastAsiaTheme="minorEastAsia" w:hAnsiTheme="minorHAnsi" w:cstheme="minorBidi"/>
                <w:noProof/>
                <w:sz w:val="22"/>
                <w:szCs w:val="22"/>
                <w:lang w:val="et-EE" w:eastAsia="et-EE"/>
              </w:rPr>
              <w:tab/>
            </w:r>
            <w:r w:rsidR="00577C63" w:rsidRPr="00654DFF">
              <w:rPr>
                <w:rStyle w:val="Hyperlink"/>
                <w:noProof/>
              </w:rPr>
              <w:t>Ülevaade sõltuvatest arvestusüksustest</w:t>
            </w:r>
            <w:r w:rsidR="00577C63" w:rsidRPr="00654DFF">
              <w:rPr>
                <w:noProof/>
                <w:webHidden/>
              </w:rPr>
              <w:tab/>
            </w:r>
            <w:r w:rsidR="00577C63" w:rsidRPr="00654DFF">
              <w:rPr>
                <w:noProof/>
                <w:webHidden/>
              </w:rPr>
              <w:fldChar w:fldCharType="begin"/>
            </w:r>
            <w:r w:rsidR="00577C63" w:rsidRPr="00654DFF">
              <w:rPr>
                <w:noProof/>
                <w:webHidden/>
              </w:rPr>
              <w:instrText xml:space="preserve"> PAGEREF _Toc22542305 \h </w:instrText>
            </w:r>
            <w:r w:rsidR="00577C63" w:rsidRPr="00654DFF">
              <w:rPr>
                <w:noProof/>
                <w:webHidden/>
              </w:rPr>
            </w:r>
            <w:r w:rsidR="00577C63" w:rsidRPr="00654DFF">
              <w:rPr>
                <w:noProof/>
                <w:webHidden/>
              </w:rPr>
              <w:fldChar w:fldCharType="separate"/>
            </w:r>
            <w:r w:rsidR="00926E8E">
              <w:rPr>
                <w:noProof/>
                <w:webHidden/>
              </w:rPr>
              <w:t>12</w:t>
            </w:r>
            <w:r w:rsidR="00577C63" w:rsidRPr="00654DFF">
              <w:rPr>
                <w:noProof/>
                <w:webHidden/>
              </w:rPr>
              <w:fldChar w:fldCharType="end"/>
            </w:r>
          </w:hyperlink>
        </w:p>
        <w:p w:rsidR="00577C63" w:rsidRDefault="00037359">
          <w:pPr>
            <w:pStyle w:val="TOC1"/>
            <w:tabs>
              <w:tab w:val="left" w:pos="660"/>
              <w:tab w:val="right" w:leader="dot" w:pos="8830"/>
            </w:tabs>
            <w:rPr>
              <w:rFonts w:asciiTheme="minorHAnsi" w:eastAsiaTheme="minorEastAsia" w:hAnsiTheme="minorHAnsi" w:cstheme="minorBidi"/>
              <w:noProof/>
              <w:sz w:val="22"/>
              <w:szCs w:val="22"/>
              <w:lang w:val="et-EE" w:eastAsia="et-EE"/>
            </w:rPr>
          </w:pPr>
          <w:hyperlink w:anchor="_Toc22542306" w:history="1">
            <w:r w:rsidR="00577C63" w:rsidRPr="00654DFF">
              <w:rPr>
                <w:rStyle w:val="Hyperlink"/>
                <w:noProof/>
              </w:rPr>
              <w:t>4.</w:t>
            </w:r>
            <w:r w:rsidR="00577C63" w:rsidRPr="00654DFF">
              <w:rPr>
                <w:rFonts w:asciiTheme="minorHAnsi" w:eastAsiaTheme="minorEastAsia" w:hAnsiTheme="minorHAnsi" w:cstheme="minorBidi"/>
                <w:noProof/>
                <w:sz w:val="22"/>
                <w:szCs w:val="22"/>
                <w:lang w:val="et-EE" w:eastAsia="et-EE"/>
              </w:rPr>
              <w:tab/>
            </w:r>
            <w:r w:rsidR="00577C63" w:rsidRPr="00654DFF">
              <w:rPr>
                <w:rStyle w:val="Hyperlink"/>
                <w:noProof/>
              </w:rPr>
              <w:t>Arengukav</w:t>
            </w:r>
            <w:r w:rsidR="00577C63" w:rsidRPr="00654DFF">
              <w:rPr>
                <w:rStyle w:val="Hyperlink"/>
                <w:noProof/>
              </w:rPr>
              <w:t>a</w:t>
            </w:r>
            <w:r w:rsidR="00577C63" w:rsidRPr="00654DFF">
              <w:rPr>
                <w:rStyle w:val="Hyperlink"/>
                <w:noProof/>
              </w:rPr>
              <w:t xml:space="preserve"> ja stratee</w:t>
            </w:r>
            <w:r w:rsidR="00577C63" w:rsidRPr="00654DFF">
              <w:rPr>
                <w:rStyle w:val="Hyperlink"/>
                <w:noProof/>
              </w:rPr>
              <w:t>g</w:t>
            </w:r>
            <w:r w:rsidR="00577C63" w:rsidRPr="00654DFF">
              <w:rPr>
                <w:rStyle w:val="Hyperlink"/>
                <w:noProof/>
              </w:rPr>
              <w:t>ia ajakohastamine</w:t>
            </w:r>
            <w:r w:rsidR="00577C63" w:rsidRPr="00654DFF">
              <w:rPr>
                <w:noProof/>
                <w:webHidden/>
              </w:rPr>
              <w:tab/>
            </w:r>
            <w:r w:rsidR="00577C63" w:rsidRPr="00654DFF">
              <w:rPr>
                <w:noProof/>
                <w:webHidden/>
              </w:rPr>
              <w:fldChar w:fldCharType="begin"/>
            </w:r>
            <w:r w:rsidR="00577C63" w:rsidRPr="00654DFF">
              <w:rPr>
                <w:noProof/>
                <w:webHidden/>
              </w:rPr>
              <w:instrText xml:space="preserve"> PAGEREF _Toc22542306 \h </w:instrText>
            </w:r>
            <w:r w:rsidR="00577C63" w:rsidRPr="00654DFF">
              <w:rPr>
                <w:noProof/>
                <w:webHidden/>
              </w:rPr>
            </w:r>
            <w:r w:rsidR="00577C63" w:rsidRPr="00654DFF">
              <w:rPr>
                <w:noProof/>
                <w:webHidden/>
              </w:rPr>
              <w:fldChar w:fldCharType="separate"/>
            </w:r>
            <w:r w:rsidR="00926E8E">
              <w:rPr>
                <w:noProof/>
                <w:webHidden/>
              </w:rPr>
              <w:t>15</w:t>
            </w:r>
            <w:r w:rsidR="00577C63" w:rsidRPr="00654DFF">
              <w:rPr>
                <w:noProof/>
                <w:webHidden/>
              </w:rPr>
              <w:fldChar w:fldCharType="end"/>
            </w:r>
          </w:hyperlink>
        </w:p>
        <w:p w:rsidR="001F1FE0" w:rsidRDefault="001F1FE0">
          <w:r>
            <w:rPr>
              <w:b/>
              <w:bCs/>
              <w:noProof/>
            </w:rPr>
            <w:fldChar w:fldCharType="end"/>
          </w:r>
        </w:p>
      </w:sdtContent>
    </w:sdt>
    <w:p w:rsidR="00F02794" w:rsidRDefault="00F02794" w:rsidP="003802A4"/>
    <w:p w:rsidR="003802A4" w:rsidRDefault="003802A4">
      <w:pPr>
        <w:rPr>
          <w:sz w:val="24"/>
          <w:szCs w:val="24"/>
        </w:rPr>
      </w:pPr>
      <w:r>
        <w:rPr>
          <w:sz w:val="24"/>
          <w:szCs w:val="24"/>
        </w:rPr>
        <w:br w:type="page"/>
      </w:r>
    </w:p>
    <w:p w:rsidR="006D719C" w:rsidRPr="00CA6501" w:rsidRDefault="00E82AF1" w:rsidP="00DA459E">
      <w:pPr>
        <w:pStyle w:val="Heading1"/>
        <w:numPr>
          <w:ilvl w:val="0"/>
          <w:numId w:val="2"/>
        </w:numPr>
      </w:pPr>
      <w:bookmarkStart w:id="0" w:name="_Toc529432873"/>
      <w:bookmarkStart w:id="1" w:name="_Toc22542295"/>
      <w:r w:rsidRPr="00CA6501">
        <w:lastRenderedPageBreak/>
        <w:t>Sissejuhatus</w:t>
      </w:r>
      <w:r w:rsidR="006F73E5" w:rsidRPr="00CA6501">
        <w:t>.</w:t>
      </w:r>
      <w:bookmarkEnd w:id="0"/>
      <w:bookmarkEnd w:id="1"/>
    </w:p>
    <w:p w:rsidR="00DA459E" w:rsidRDefault="00DA459E" w:rsidP="00EA7BB6">
      <w:pPr>
        <w:jc w:val="both"/>
        <w:rPr>
          <w:sz w:val="24"/>
          <w:szCs w:val="24"/>
        </w:rPr>
      </w:pPr>
    </w:p>
    <w:p w:rsidR="007438AC" w:rsidRPr="003D470C" w:rsidRDefault="00E82AF1" w:rsidP="007419A7">
      <w:pPr>
        <w:jc w:val="both"/>
        <w:rPr>
          <w:sz w:val="24"/>
          <w:szCs w:val="24"/>
        </w:rPr>
      </w:pPr>
      <w:r w:rsidRPr="003D470C">
        <w:rPr>
          <w:sz w:val="24"/>
          <w:szCs w:val="24"/>
        </w:rPr>
        <w:t>Eelarvestrateegia on finantsplaan, mis koostatakse arengukavas sätes</w:t>
      </w:r>
      <w:r w:rsidR="007438AC" w:rsidRPr="003D470C">
        <w:rPr>
          <w:sz w:val="24"/>
          <w:szCs w:val="24"/>
        </w:rPr>
        <w:t xml:space="preserve">tatud eesmärkide saavutamiseks, et planeerida kavandatavate tegevuste </w:t>
      </w:r>
      <w:r w:rsidR="00F35C0A">
        <w:rPr>
          <w:sz w:val="24"/>
          <w:szCs w:val="24"/>
        </w:rPr>
        <w:t>finantseerimist</w:t>
      </w:r>
      <w:r w:rsidR="007438AC" w:rsidRPr="003D470C">
        <w:rPr>
          <w:sz w:val="24"/>
          <w:szCs w:val="24"/>
        </w:rPr>
        <w:t>.</w:t>
      </w:r>
    </w:p>
    <w:p w:rsidR="001140C9" w:rsidRPr="003D470C" w:rsidRDefault="001140C9" w:rsidP="007419A7">
      <w:pPr>
        <w:jc w:val="both"/>
        <w:rPr>
          <w:sz w:val="24"/>
          <w:szCs w:val="24"/>
        </w:rPr>
      </w:pPr>
    </w:p>
    <w:p w:rsidR="007438AC" w:rsidRPr="003D470C" w:rsidRDefault="007438AC" w:rsidP="007438AC">
      <w:pPr>
        <w:jc w:val="both"/>
        <w:rPr>
          <w:sz w:val="24"/>
          <w:szCs w:val="24"/>
        </w:rPr>
      </w:pPr>
      <w:r w:rsidRPr="003D470C">
        <w:rPr>
          <w:sz w:val="24"/>
          <w:szCs w:val="24"/>
        </w:rPr>
        <w:t>Eelarvestrateegia koostamisel, menetlemisel, vastuvõtmisel ja avalikustamisel lähtutakse</w:t>
      </w:r>
    </w:p>
    <w:p w:rsidR="007438AC" w:rsidRPr="003D470C" w:rsidRDefault="007438AC" w:rsidP="007438AC">
      <w:pPr>
        <w:jc w:val="both"/>
        <w:rPr>
          <w:sz w:val="24"/>
          <w:szCs w:val="24"/>
        </w:rPr>
      </w:pPr>
      <w:r w:rsidRPr="003D470C">
        <w:rPr>
          <w:sz w:val="24"/>
          <w:szCs w:val="24"/>
        </w:rPr>
        <w:t>kohaliku omavalitsuse korralduse seaduse §-st 37</w:t>
      </w:r>
      <w:r w:rsidRPr="003D470C">
        <w:rPr>
          <w:sz w:val="24"/>
          <w:szCs w:val="24"/>
          <w:vertAlign w:val="superscript"/>
        </w:rPr>
        <w:t>2</w:t>
      </w:r>
      <w:r w:rsidR="003D470C" w:rsidRPr="003D470C">
        <w:rPr>
          <w:sz w:val="24"/>
          <w:szCs w:val="24"/>
        </w:rPr>
        <w:t>.</w:t>
      </w:r>
    </w:p>
    <w:p w:rsidR="007438AC" w:rsidRPr="003D470C" w:rsidRDefault="007438AC" w:rsidP="007438AC">
      <w:pPr>
        <w:jc w:val="both"/>
        <w:rPr>
          <w:sz w:val="24"/>
          <w:szCs w:val="24"/>
        </w:rPr>
      </w:pPr>
    </w:p>
    <w:p w:rsidR="006D719C" w:rsidRPr="003D470C" w:rsidRDefault="003D470C" w:rsidP="007419A7">
      <w:pPr>
        <w:jc w:val="both"/>
        <w:rPr>
          <w:sz w:val="24"/>
          <w:szCs w:val="24"/>
        </w:rPr>
      </w:pPr>
      <w:r w:rsidRPr="003D470C">
        <w:rPr>
          <w:sz w:val="24"/>
          <w:szCs w:val="24"/>
        </w:rPr>
        <w:t>Vinni Vallavalitsuse e</w:t>
      </w:r>
      <w:r w:rsidR="00E82AF1" w:rsidRPr="003D470C">
        <w:rPr>
          <w:sz w:val="24"/>
          <w:szCs w:val="24"/>
        </w:rPr>
        <w:t xml:space="preserve">elarvestrateegia on </w:t>
      </w:r>
      <w:r w:rsidRPr="003D470C">
        <w:rPr>
          <w:sz w:val="24"/>
          <w:szCs w:val="24"/>
        </w:rPr>
        <w:t xml:space="preserve">koostatud vastavalt kohaliku omavalitsuse üksuse finantsjuhtimise seaduse (KOFS) § 20 nõuetele. </w:t>
      </w:r>
      <w:r w:rsidR="00E82AF1" w:rsidRPr="003D470C">
        <w:rPr>
          <w:sz w:val="24"/>
          <w:szCs w:val="24"/>
        </w:rPr>
        <w:t>Eelarvestrateegiat uuendatakse igal aastal, täpsustades varasemas eelarvestrateegias kajastatud kolme eelseisva aasta prognoose ja lisades neljanda aasta prognoosid.</w:t>
      </w:r>
    </w:p>
    <w:p w:rsidR="001140C9" w:rsidRPr="003D470C" w:rsidRDefault="001140C9" w:rsidP="007419A7">
      <w:pPr>
        <w:jc w:val="both"/>
        <w:rPr>
          <w:sz w:val="24"/>
          <w:szCs w:val="24"/>
        </w:rPr>
      </w:pPr>
    </w:p>
    <w:p w:rsidR="006D719C" w:rsidRPr="003D470C" w:rsidRDefault="00E82AF1" w:rsidP="007419A7">
      <w:pPr>
        <w:jc w:val="both"/>
        <w:rPr>
          <w:sz w:val="24"/>
          <w:szCs w:val="24"/>
        </w:rPr>
      </w:pPr>
      <w:r w:rsidRPr="003D470C">
        <w:rPr>
          <w:sz w:val="24"/>
          <w:szCs w:val="24"/>
        </w:rPr>
        <w:t xml:space="preserve">Koostamise lähtealuseks on </w:t>
      </w:r>
      <w:r w:rsidR="005D3DB8" w:rsidRPr="003D470C">
        <w:rPr>
          <w:sz w:val="24"/>
          <w:szCs w:val="24"/>
        </w:rPr>
        <w:t>Vinni</w:t>
      </w:r>
      <w:r w:rsidR="00E268BD" w:rsidRPr="003D470C">
        <w:rPr>
          <w:sz w:val="24"/>
          <w:szCs w:val="24"/>
        </w:rPr>
        <w:t xml:space="preserve"> valla arengukava</w:t>
      </w:r>
      <w:r w:rsidRPr="003D470C">
        <w:rPr>
          <w:sz w:val="24"/>
          <w:szCs w:val="24"/>
        </w:rPr>
        <w:t>,</w:t>
      </w:r>
      <w:r w:rsidR="00547E61" w:rsidRPr="003D470C">
        <w:rPr>
          <w:sz w:val="24"/>
          <w:szCs w:val="24"/>
        </w:rPr>
        <w:t xml:space="preserve"> ühinemisleping, </w:t>
      </w:r>
      <w:r w:rsidRPr="003D470C">
        <w:rPr>
          <w:sz w:val="24"/>
          <w:szCs w:val="24"/>
        </w:rPr>
        <w:t>Statistikaameti, Eesti Töötukassa ja Rahandusministeeriumi andmed ja majandusarengu prognoosid.</w:t>
      </w:r>
    </w:p>
    <w:p w:rsidR="006D719C" w:rsidRPr="003D470C" w:rsidRDefault="006D719C" w:rsidP="007419A7">
      <w:pPr>
        <w:jc w:val="both"/>
        <w:rPr>
          <w:sz w:val="24"/>
          <w:szCs w:val="24"/>
        </w:rPr>
      </w:pPr>
    </w:p>
    <w:p w:rsidR="006D719C" w:rsidRPr="007419A7" w:rsidRDefault="00072E9D" w:rsidP="007419A7">
      <w:pPr>
        <w:jc w:val="both"/>
        <w:rPr>
          <w:sz w:val="24"/>
          <w:szCs w:val="24"/>
        </w:rPr>
      </w:pPr>
      <w:r>
        <w:rPr>
          <w:sz w:val="24"/>
          <w:szCs w:val="24"/>
        </w:rPr>
        <w:t>Eelarvestrateegia aastateks 2020</w:t>
      </w:r>
      <w:r w:rsidR="00E82AF1" w:rsidRPr="003D470C">
        <w:rPr>
          <w:sz w:val="24"/>
          <w:szCs w:val="24"/>
        </w:rPr>
        <w:t>-</w:t>
      </w:r>
      <w:r>
        <w:rPr>
          <w:sz w:val="24"/>
          <w:szCs w:val="24"/>
        </w:rPr>
        <w:t>2023</w:t>
      </w:r>
      <w:r w:rsidR="007419A7" w:rsidRPr="003D470C">
        <w:rPr>
          <w:sz w:val="24"/>
          <w:szCs w:val="24"/>
        </w:rPr>
        <w:t xml:space="preserve"> on koosatud tekkepõhiselt. </w:t>
      </w:r>
      <w:r w:rsidR="00E82AF1" w:rsidRPr="003D470C">
        <w:rPr>
          <w:sz w:val="24"/>
          <w:szCs w:val="24"/>
        </w:rPr>
        <w:t>Tekkepõhises eelarves kajastatakse tehingud vastavalt nende</w:t>
      </w:r>
      <w:r w:rsidR="00E82AF1" w:rsidRPr="007419A7">
        <w:rPr>
          <w:sz w:val="24"/>
          <w:szCs w:val="24"/>
        </w:rPr>
        <w:t xml:space="preserve"> toimumisele, sõltumata sellest, millal nende eest r</w:t>
      </w:r>
      <w:r>
        <w:rPr>
          <w:sz w:val="24"/>
          <w:szCs w:val="24"/>
        </w:rPr>
        <w:t>aha laekub või välja makstakse.</w:t>
      </w:r>
    </w:p>
    <w:p w:rsidR="006D719C" w:rsidRPr="007419A7" w:rsidRDefault="006D719C" w:rsidP="007419A7">
      <w:pPr>
        <w:jc w:val="both"/>
        <w:rPr>
          <w:sz w:val="24"/>
          <w:szCs w:val="24"/>
        </w:rPr>
      </w:pPr>
    </w:p>
    <w:p w:rsidR="006D719C" w:rsidRPr="007419A7" w:rsidRDefault="00E82AF1" w:rsidP="007419A7">
      <w:pPr>
        <w:jc w:val="both"/>
        <w:rPr>
          <w:sz w:val="24"/>
          <w:szCs w:val="24"/>
        </w:rPr>
      </w:pPr>
      <w:r w:rsidRPr="007419A7">
        <w:rPr>
          <w:sz w:val="24"/>
          <w:szCs w:val="24"/>
        </w:rPr>
        <w:t>Vastavalt KOFS-</w:t>
      </w:r>
      <w:proofErr w:type="spellStart"/>
      <w:r w:rsidRPr="007419A7">
        <w:rPr>
          <w:sz w:val="24"/>
          <w:szCs w:val="24"/>
        </w:rPr>
        <w:t>le</w:t>
      </w:r>
      <w:proofErr w:type="spellEnd"/>
      <w:r w:rsidRPr="007419A7">
        <w:rPr>
          <w:sz w:val="24"/>
          <w:szCs w:val="24"/>
        </w:rPr>
        <w:t xml:space="preserve"> jaotatakse eelarve ja eelarvestrateegia järgmisteks osadeks:</w:t>
      </w:r>
    </w:p>
    <w:p w:rsidR="006D719C" w:rsidRPr="007419A7" w:rsidRDefault="006D719C" w:rsidP="007419A7">
      <w:pPr>
        <w:jc w:val="both"/>
        <w:rPr>
          <w:sz w:val="24"/>
          <w:szCs w:val="24"/>
        </w:rPr>
      </w:pPr>
    </w:p>
    <w:p w:rsidR="006D719C" w:rsidRPr="007419A7" w:rsidRDefault="00E82AF1" w:rsidP="007419A7">
      <w:pPr>
        <w:pStyle w:val="ListParagraph"/>
        <w:numPr>
          <w:ilvl w:val="0"/>
          <w:numId w:val="1"/>
        </w:numPr>
        <w:jc w:val="both"/>
        <w:rPr>
          <w:sz w:val="24"/>
          <w:szCs w:val="24"/>
        </w:rPr>
      </w:pPr>
      <w:r w:rsidRPr="007419A7">
        <w:rPr>
          <w:sz w:val="24"/>
          <w:szCs w:val="24"/>
        </w:rPr>
        <w:t>Põhitegevuse</w:t>
      </w:r>
      <w:r w:rsidRPr="007419A7">
        <w:rPr>
          <w:spacing w:val="-2"/>
          <w:sz w:val="24"/>
          <w:szCs w:val="24"/>
        </w:rPr>
        <w:t xml:space="preserve"> </w:t>
      </w:r>
      <w:r w:rsidRPr="007419A7">
        <w:rPr>
          <w:sz w:val="24"/>
          <w:szCs w:val="24"/>
        </w:rPr>
        <w:t>tulud;</w:t>
      </w:r>
    </w:p>
    <w:p w:rsidR="006D719C" w:rsidRPr="007419A7" w:rsidRDefault="00E82AF1" w:rsidP="007419A7">
      <w:pPr>
        <w:pStyle w:val="ListParagraph"/>
        <w:numPr>
          <w:ilvl w:val="0"/>
          <w:numId w:val="1"/>
        </w:numPr>
        <w:jc w:val="both"/>
        <w:rPr>
          <w:sz w:val="24"/>
          <w:szCs w:val="24"/>
        </w:rPr>
      </w:pPr>
      <w:r w:rsidRPr="007419A7">
        <w:rPr>
          <w:sz w:val="24"/>
          <w:szCs w:val="24"/>
        </w:rPr>
        <w:t>Põhitegevuse</w:t>
      </w:r>
      <w:r w:rsidRPr="007419A7">
        <w:rPr>
          <w:spacing w:val="-2"/>
          <w:sz w:val="24"/>
          <w:szCs w:val="24"/>
        </w:rPr>
        <w:t xml:space="preserve"> </w:t>
      </w:r>
      <w:r w:rsidRPr="007419A7">
        <w:rPr>
          <w:sz w:val="24"/>
          <w:szCs w:val="24"/>
        </w:rPr>
        <w:t>kulud;</w:t>
      </w:r>
    </w:p>
    <w:p w:rsidR="006D719C" w:rsidRPr="007419A7" w:rsidRDefault="00E82AF1" w:rsidP="007419A7">
      <w:pPr>
        <w:pStyle w:val="ListParagraph"/>
        <w:numPr>
          <w:ilvl w:val="0"/>
          <w:numId w:val="1"/>
        </w:numPr>
        <w:jc w:val="both"/>
        <w:rPr>
          <w:sz w:val="24"/>
          <w:szCs w:val="24"/>
        </w:rPr>
      </w:pPr>
      <w:r w:rsidRPr="007419A7">
        <w:rPr>
          <w:sz w:val="24"/>
          <w:szCs w:val="24"/>
        </w:rPr>
        <w:t>Investeerimistegevus;</w:t>
      </w:r>
    </w:p>
    <w:p w:rsidR="006D719C" w:rsidRPr="007419A7" w:rsidRDefault="00E82AF1" w:rsidP="007419A7">
      <w:pPr>
        <w:pStyle w:val="ListParagraph"/>
        <w:numPr>
          <w:ilvl w:val="0"/>
          <w:numId w:val="1"/>
        </w:numPr>
        <w:jc w:val="both"/>
        <w:rPr>
          <w:sz w:val="24"/>
          <w:szCs w:val="24"/>
        </w:rPr>
      </w:pPr>
      <w:r w:rsidRPr="007419A7">
        <w:rPr>
          <w:sz w:val="24"/>
          <w:szCs w:val="24"/>
        </w:rPr>
        <w:t>Finantseerimistegevus;</w:t>
      </w:r>
      <w:r w:rsidR="00170A79" w:rsidRPr="007419A7">
        <w:rPr>
          <w:sz w:val="24"/>
          <w:szCs w:val="24"/>
        </w:rPr>
        <w:t xml:space="preserve"> </w:t>
      </w:r>
    </w:p>
    <w:p w:rsidR="006D719C" w:rsidRPr="007419A7" w:rsidRDefault="00E82AF1" w:rsidP="007419A7">
      <w:pPr>
        <w:pStyle w:val="ListParagraph"/>
        <w:numPr>
          <w:ilvl w:val="0"/>
          <w:numId w:val="1"/>
        </w:numPr>
        <w:jc w:val="both"/>
        <w:rPr>
          <w:sz w:val="24"/>
          <w:szCs w:val="24"/>
        </w:rPr>
      </w:pPr>
      <w:r w:rsidRPr="007419A7">
        <w:rPr>
          <w:sz w:val="24"/>
          <w:szCs w:val="24"/>
        </w:rPr>
        <w:t>Likviidsete varade</w:t>
      </w:r>
      <w:r w:rsidRPr="007419A7">
        <w:rPr>
          <w:spacing w:val="-3"/>
          <w:sz w:val="24"/>
          <w:szCs w:val="24"/>
        </w:rPr>
        <w:t xml:space="preserve"> </w:t>
      </w:r>
      <w:r w:rsidRPr="007419A7">
        <w:rPr>
          <w:sz w:val="24"/>
          <w:szCs w:val="24"/>
        </w:rPr>
        <w:t>muutus.</w:t>
      </w:r>
    </w:p>
    <w:p w:rsidR="00072E9D" w:rsidRDefault="00072E9D" w:rsidP="00072E9D">
      <w:pPr>
        <w:jc w:val="both"/>
        <w:rPr>
          <w:sz w:val="24"/>
          <w:szCs w:val="24"/>
        </w:rPr>
      </w:pPr>
    </w:p>
    <w:p w:rsidR="0021517C" w:rsidRPr="007419A7" w:rsidRDefault="00E82AF1" w:rsidP="007419A7">
      <w:pPr>
        <w:jc w:val="both"/>
        <w:rPr>
          <w:sz w:val="24"/>
          <w:szCs w:val="24"/>
        </w:rPr>
      </w:pPr>
      <w:r w:rsidRPr="007419A7">
        <w:rPr>
          <w:sz w:val="24"/>
          <w:szCs w:val="24"/>
        </w:rPr>
        <w:t>Kõik rahalised näitajad eelarvestrateegia tabelites on toodud eurodes.</w:t>
      </w:r>
    </w:p>
    <w:p w:rsidR="00EA7BB6" w:rsidRPr="007419A7" w:rsidRDefault="00EA7BB6" w:rsidP="007419A7">
      <w:pPr>
        <w:jc w:val="both"/>
        <w:rPr>
          <w:sz w:val="24"/>
          <w:szCs w:val="24"/>
        </w:rPr>
      </w:pPr>
    </w:p>
    <w:p w:rsidR="00EA7BB6" w:rsidRDefault="00EA7BB6" w:rsidP="00326510">
      <w:pPr>
        <w:jc w:val="both"/>
        <w:rPr>
          <w:sz w:val="24"/>
          <w:szCs w:val="24"/>
        </w:rPr>
      </w:pPr>
    </w:p>
    <w:p w:rsidR="006C3535" w:rsidRDefault="006C3535" w:rsidP="00326510">
      <w:pPr>
        <w:jc w:val="both"/>
        <w:rPr>
          <w:sz w:val="24"/>
          <w:szCs w:val="24"/>
        </w:rPr>
      </w:pPr>
    </w:p>
    <w:p w:rsidR="006C3535" w:rsidRDefault="006C3535" w:rsidP="00326510">
      <w:pPr>
        <w:jc w:val="both"/>
        <w:rPr>
          <w:sz w:val="24"/>
          <w:szCs w:val="24"/>
        </w:rPr>
      </w:pPr>
    </w:p>
    <w:p w:rsidR="006C3535" w:rsidRDefault="006C3535" w:rsidP="00326510">
      <w:pPr>
        <w:jc w:val="both"/>
        <w:rPr>
          <w:sz w:val="24"/>
          <w:szCs w:val="24"/>
        </w:rPr>
      </w:pPr>
    </w:p>
    <w:p w:rsidR="006C3535" w:rsidRDefault="006C3535" w:rsidP="00326510">
      <w:pPr>
        <w:jc w:val="both"/>
        <w:rPr>
          <w:sz w:val="24"/>
          <w:szCs w:val="24"/>
        </w:rPr>
      </w:pPr>
    </w:p>
    <w:p w:rsidR="006C3535" w:rsidRDefault="006C3535" w:rsidP="00326510">
      <w:pPr>
        <w:jc w:val="both"/>
        <w:rPr>
          <w:sz w:val="24"/>
          <w:szCs w:val="24"/>
        </w:rPr>
      </w:pPr>
    </w:p>
    <w:p w:rsidR="006C3535" w:rsidRDefault="006C3535" w:rsidP="00326510">
      <w:pPr>
        <w:jc w:val="both"/>
        <w:rPr>
          <w:sz w:val="24"/>
          <w:szCs w:val="24"/>
        </w:rPr>
      </w:pPr>
    </w:p>
    <w:p w:rsidR="006C3535" w:rsidRDefault="006C3535" w:rsidP="00326510">
      <w:pPr>
        <w:jc w:val="both"/>
        <w:rPr>
          <w:sz w:val="24"/>
          <w:szCs w:val="24"/>
        </w:rPr>
      </w:pPr>
    </w:p>
    <w:p w:rsidR="006C3535" w:rsidRDefault="006C3535" w:rsidP="00326510">
      <w:pPr>
        <w:jc w:val="both"/>
        <w:rPr>
          <w:sz w:val="24"/>
          <w:szCs w:val="24"/>
        </w:rPr>
      </w:pPr>
    </w:p>
    <w:p w:rsidR="006C3535" w:rsidRDefault="006C3535" w:rsidP="00326510">
      <w:pPr>
        <w:jc w:val="both"/>
        <w:rPr>
          <w:sz w:val="24"/>
          <w:szCs w:val="24"/>
        </w:rPr>
      </w:pPr>
    </w:p>
    <w:p w:rsidR="006C3535" w:rsidRDefault="006C3535" w:rsidP="00326510">
      <w:pPr>
        <w:jc w:val="both"/>
        <w:rPr>
          <w:sz w:val="24"/>
          <w:szCs w:val="24"/>
        </w:rPr>
      </w:pPr>
    </w:p>
    <w:p w:rsidR="006C3535" w:rsidRDefault="006C3535" w:rsidP="00326510">
      <w:pPr>
        <w:jc w:val="both"/>
        <w:rPr>
          <w:sz w:val="24"/>
          <w:szCs w:val="24"/>
        </w:rPr>
      </w:pPr>
    </w:p>
    <w:p w:rsidR="006C3535" w:rsidRDefault="006C3535" w:rsidP="00326510">
      <w:pPr>
        <w:jc w:val="both"/>
        <w:rPr>
          <w:sz w:val="24"/>
          <w:szCs w:val="24"/>
        </w:rPr>
      </w:pPr>
    </w:p>
    <w:p w:rsidR="006C3535" w:rsidRDefault="006C3535" w:rsidP="00326510">
      <w:pPr>
        <w:jc w:val="both"/>
        <w:rPr>
          <w:sz w:val="24"/>
          <w:szCs w:val="24"/>
        </w:rPr>
      </w:pPr>
    </w:p>
    <w:p w:rsidR="006C3535" w:rsidRDefault="006C3535" w:rsidP="00326510">
      <w:pPr>
        <w:jc w:val="both"/>
        <w:rPr>
          <w:sz w:val="24"/>
          <w:szCs w:val="24"/>
        </w:rPr>
      </w:pPr>
    </w:p>
    <w:p w:rsidR="003802A4" w:rsidRDefault="003802A4">
      <w:pPr>
        <w:rPr>
          <w:sz w:val="24"/>
          <w:szCs w:val="24"/>
        </w:rPr>
      </w:pPr>
      <w:r>
        <w:rPr>
          <w:sz w:val="24"/>
          <w:szCs w:val="24"/>
        </w:rPr>
        <w:br w:type="page"/>
      </w:r>
    </w:p>
    <w:p w:rsidR="006D719C" w:rsidRPr="00121B6A" w:rsidRDefault="00E82AF1" w:rsidP="00072E9D">
      <w:pPr>
        <w:pStyle w:val="Heading1"/>
        <w:numPr>
          <w:ilvl w:val="0"/>
          <w:numId w:val="2"/>
        </w:numPr>
      </w:pPr>
      <w:bookmarkStart w:id="2" w:name="_Toc529432875"/>
      <w:bookmarkStart w:id="3" w:name="_Toc22542296"/>
      <w:bookmarkStart w:id="4" w:name="_GoBack"/>
      <w:bookmarkEnd w:id="4"/>
      <w:r w:rsidRPr="00121B6A">
        <w:lastRenderedPageBreak/>
        <w:t>Majanduslik olukord riigis.</w:t>
      </w:r>
      <w:bookmarkEnd w:id="2"/>
      <w:bookmarkEnd w:id="3"/>
    </w:p>
    <w:p w:rsidR="009F6F14" w:rsidRPr="009F6F14" w:rsidRDefault="009F6F14" w:rsidP="00326510">
      <w:pPr>
        <w:jc w:val="both"/>
        <w:rPr>
          <w:sz w:val="24"/>
          <w:szCs w:val="24"/>
        </w:rPr>
      </w:pPr>
    </w:p>
    <w:p w:rsidR="00CB5301" w:rsidRDefault="00CB5301" w:rsidP="007419A7">
      <w:pPr>
        <w:jc w:val="both"/>
        <w:rPr>
          <w:sz w:val="24"/>
          <w:szCs w:val="24"/>
          <w:highlight w:val="yellow"/>
        </w:rPr>
      </w:pPr>
      <w:r w:rsidRPr="00CB5301">
        <w:rPr>
          <w:sz w:val="24"/>
          <w:szCs w:val="24"/>
        </w:rPr>
        <w:t xml:space="preserve">Ülevaade majanduskeskkonnast on koostatud Rahandusministeeriumi </w:t>
      </w:r>
      <w:r>
        <w:rPr>
          <w:sz w:val="24"/>
          <w:szCs w:val="24"/>
        </w:rPr>
        <w:t>suvi</w:t>
      </w:r>
      <w:r w:rsidRPr="00CB5301">
        <w:rPr>
          <w:sz w:val="24"/>
          <w:szCs w:val="24"/>
        </w:rPr>
        <w:t>sele majandusprognoosile tuginedes</w:t>
      </w:r>
      <w:r>
        <w:rPr>
          <w:sz w:val="24"/>
          <w:szCs w:val="24"/>
        </w:rPr>
        <w:t>.</w:t>
      </w:r>
    </w:p>
    <w:p w:rsidR="00543B12" w:rsidRPr="001905BA" w:rsidRDefault="00543B12" w:rsidP="00326510">
      <w:pPr>
        <w:jc w:val="both"/>
        <w:rPr>
          <w:sz w:val="24"/>
          <w:szCs w:val="24"/>
        </w:rPr>
      </w:pPr>
    </w:p>
    <w:tbl>
      <w:tblPr>
        <w:tblW w:w="10116" w:type="dxa"/>
        <w:tblCellMar>
          <w:left w:w="70" w:type="dxa"/>
          <w:right w:w="70" w:type="dxa"/>
        </w:tblCellMar>
        <w:tblLook w:val="04A0" w:firstRow="1" w:lastRow="0" w:firstColumn="1" w:lastColumn="0" w:noHBand="0" w:noVBand="1"/>
      </w:tblPr>
      <w:tblGrid>
        <w:gridCol w:w="4761"/>
        <w:gridCol w:w="884"/>
        <w:gridCol w:w="901"/>
        <w:gridCol w:w="901"/>
        <w:gridCol w:w="884"/>
        <w:gridCol w:w="901"/>
        <w:gridCol w:w="884"/>
      </w:tblGrid>
      <w:tr w:rsidR="00BB272E" w:rsidRPr="00BB272E" w:rsidTr="000B20A4">
        <w:trPr>
          <w:trHeight w:val="444"/>
        </w:trPr>
        <w:tc>
          <w:tcPr>
            <w:tcW w:w="4761" w:type="dxa"/>
            <w:tcBorders>
              <w:top w:val="single" w:sz="4" w:space="0" w:color="000000"/>
              <w:left w:val="single" w:sz="4" w:space="0" w:color="000000"/>
              <w:bottom w:val="single" w:sz="4" w:space="0" w:color="000000"/>
              <w:right w:val="single" w:sz="4" w:space="0" w:color="000000"/>
            </w:tcBorders>
            <w:shd w:val="clear" w:color="auto" w:fill="auto"/>
            <w:hideMark/>
          </w:tcPr>
          <w:p w:rsidR="00BB272E" w:rsidRPr="00BB272E" w:rsidRDefault="00BB272E" w:rsidP="00BB272E">
            <w:pPr>
              <w:widowControl/>
              <w:autoSpaceDE/>
              <w:autoSpaceDN/>
              <w:rPr>
                <w:rFonts w:ascii="Arial" w:hAnsi="Arial" w:cs="Arial"/>
                <w:sz w:val="20"/>
                <w:szCs w:val="20"/>
                <w:lang w:val="et-EE" w:eastAsia="et-EE"/>
              </w:rPr>
            </w:pPr>
            <w:r w:rsidRPr="00BB272E">
              <w:rPr>
                <w:rFonts w:ascii="Arial" w:hAnsi="Arial" w:cs="Arial"/>
                <w:sz w:val="20"/>
                <w:szCs w:val="20"/>
                <w:lang w:val="et-EE" w:eastAsia="et-EE"/>
              </w:rPr>
              <w:t> </w:t>
            </w:r>
          </w:p>
        </w:tc>
        <w:tc>
          <w:tcPr>
            <w:tcW w:w="884" w:type="dxa"/>
            <w:tcBorders>
              <w:top w:val="single" w:sz="4" w:space="0" w:color="000000"/>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b/>
                <w:bCs/>
                <w:color w:val="000000"/>
                <w:sz w:val="20"/>
                <w:szCs w:val="20"/>
                <w:lang w:val="et-EE" w:eastAsia="et-EE"/>
              </w:rPr>
            </w:pPr>
            <w:r w:rsidRPr="00BB272E">
              <w:rPr>
                <w:rFonts w:ascii="Arial" w:hAnsi="Arial" w:cs="Arial"/>
                <w:b/>
                <w:bCs/>
                <w:color w:val="000000"/>
                <w:sz w:val="20"/>
                <w:szCs w:val="20"/>
                <w:lang w:val="et-EE" w:eastAsia="et-EE"/>
              </w:rPr>
              <w:t>2018</w:t>
            </w:r>
          </w:p>
        </w:tc>
        <w:tc>
          <w:tcPr>
            <w:tcW w:w="901" w:type="dxa"/>
            <w:tcBorders>
              <w:top w:val="single" w:sz="4" w:space="0" w:color="000000"/>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b/>
                <w:bCs/>
                <w:color w:val="000000"/>
                <w:sz w:val="20"/>
                <w:szCs w:val="20"/>
                <w:lang w:val="et-EE" w:eastAsia="et-EE"/>
              </w:rPr>
            </w:pPr>
            <w:r w:rsidRPr="00BB272E">
              <w:rPr>
                <w:rFonts w:ascii="Arial" w:hAnsi="Arial" w:cs="Arial"/>
                <w:b/>
                <w:bCs/>
                <w:color w:val="000000"/>
                <w:sz w:val="20"/>
                <w:szCs w:val="20"/>
                <w:lang w:val="et-EE" w:eastAsia="et-EE"/>
              </w:rPr>
              <w:t>2019</w:t>
            </w:r>
          </w:p>
        </w:tc>
        <w:tc>
          <w:tcPr>
            <w:tcW w:w="901" w:type="dxa"/>
            <w:tcBorders>
              <w:top w:val="single" w:sz="4" w:space="0" w:color="000000"/>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b/>
                <w:bCs/>
                <w:color w:val="000000"/>
                <w:sz w:val="20"/>
                <w:szCs w:val="20"/>
                <w:lang w:val="et-EE" w:eastAsia="et-EE"/>
              </w:rPr>
            </w:pPr>
            <w:r w:rsidRPr="00BB272E">
              <w:rPr>
                <w:rFonts w:ascii="Arial" w:hAnsi="Arial" w:cs="Arial"/>
                <w:b/>
                <w:bCs/>
                <w:color w:val="000000"/>
                <w:sz w:val="20"/>
                <w:szCs w:val="20"/>
                <w:lang w:val="et-EE" w:eastAsia="et-EE"/>
              </w:rPr>
              <w:t>2020</w:t>
            </w:r>
          </w:p>
        </w:tc>
        <w:tc>
          <w:tcPr>
            <w:tcW w:w="884" w:type="dxa"/>
            <w:tcBorders>
              <w:top w:val="single" w:sz="4" w:space="0" w:color="000000"/>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b/>
                <w:bCs/>
                <w:color w:val="000000"/>
                <w:sz w:val="20"/>
                <w:szCs w:val="20"/>
                <w:lang w:val="et-EE" w:eastAsia="et-EE"/>
              </w:rPr>
            </w:pPr>
            <w:r w:rsidRPr="00BB272E">
              <w:rPr>
                <w:rFonts w:ascii="Arial" w:hAnsi="Arial" w:cs="Arial"/>
                <w:b/>
                <w:bCs/>
                <w:color w:val="000000"/>
                <w:sz w:val="20"/>
                <w:szCs w:val="20"/>
                <w:lang w:val="et-EE" w:eastAsia="et-EE"/>
              </w:rPr>
              <w:t>2021</w:t>
            </w:r>
          </w:p>
        </w:tc>
        <w:tc>
          <w:tcPr>
            <w:tcW w:w="901" w:type="dxa"/>
            <w:tcBorders>
              <w:top w:val="single" w:sz="4" w:space="0" w:color="000000"/>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b/>
                <w:bCs/>
                <w:color w:val="000000"/>
                <w:sz w:val="20"/>
                <w:szCs w:val="20"/>
                <w:lang w:val="et-EE" w:eastAsia="et-EE"/>
              </w:rPr>
            </w:pPr>
            <w:r w:rsidRPr="00BB272E">
              <w:rPr>
                <w:rFonts w:ascii="Arial" w:hAnsi="Arial" w:cs="Arial"/>
                <w:b/>
                <w:bCs/>
                <w:color w:val="000000"/>
                <w:sz w:val="20"/>
                <w:szCs w:val="20"/>
                <w:lang w:val="et-EE" w:eastAsia="et-EE"/>
              </w:rPr>
              <w:t>2022</w:t>
            </w:r>
          </w:p>
        </w:tc>
        <w:tc>
          <w:tcPr>
            <w:tcW w:w="884" w:type="dxa"/>
            <w:tcBorders>
              <w:top w:val="single" w:sz="4" w:space="0" w:color="000000"/>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b/>
                <w:bCs/>
                <w:color w:val="000000"/>
                <w:sz w:val="20"/>
                <w:szCs w:val="20"/>
                <w:lang w:val="et-EE" w:eastAsia="et-EE"/>
              </w:rPr>
            </w:pPr>
            <w:r w:rsidRPr="00BB272E">
              <w:rPr>
                <w:rFonts w:ascii="Arial" w:hAnsi="Arial" w:cs="Arial"/>
                <w:b/>
                <w:bCs/>
                <w:color w:val="000000"/>
                <w:sz w:val="20"/>
                <w:szCs w:val="20"/>
                <w:lang w:val="et-EE" w:eastAsia="et-EE"/>
              </w:rPr>
              <w:t>2023</w:t>
            </w:r>
          </w:p>
        </w:tc>
      </w:tr>
      <w:tr w:rsidR="00BB272E" w:rsidRPr="00BB272E" w:rsidTr="000B20A4">
        <w:trPr>
          <w:trHeight w:val="444"/>
        </w:trPr>
        <w:tc>
          <w:tcPr>
            <w:tcW w:w="4761" w:type="dxa"/>
            <w:tcBorders>
              <w:top w:val="nil"/>
              <w:left w:val="single" w:sz="4" w:space="0" w:color="000000"/>
              <w:bottom w:val="single" w:sz="4" w:space="0" w:color="000000"/>
              <w:right w:val="single" w:sz="4" w:space="0" w:color="000000"/>
            </w:tcBorders>
            <w:shd w:val="clear" w:color="auto" w:fill="auto"/>
            <w:hideMark/>
          </w:tcPr>
          <w:p w:rsidR="00BB272E" w:rsidRPr="00BB272E" w:rsidRDefault="00BB272E" w:rsidP="00BB272E">
            <w:pPr>
              <w:widowControl/>
              <w:autoSpaceDE/>
              <w:autoSpaceDN/>
              <w:rPr>
                <w:rFonts w:ascii="Arial" w:hAnsi="Arial" w:cs="Arial"/>
                <w:sz w:val="20"/>
                <w:szCs w:val="20"/>
                <w:lang w:val="et-EE" w:eastAsia="et-EE"/>
              </w:rPr>
            </w:pPr>
            <w:r w:rsidRPr="00BB272E">
              <w:rPr>
                <w:rFonts w:ascii="Arial" w:hAnsi="Arial" w:cs="Arial"/>
                <w:sz w:val="20"/>
                <w:szCs w:val="20"/>
                <w:lang w:val="et-EE" w:eastAsia="et-EE"/>
              </w:rPr>
              <w:t>SKP reaalkasv, %</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4,8</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3,3</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2,2</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2,6</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2,5</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2,3</w:t>
            </w:r>
          </w:p>
        </w:tc>
      </w:tr>
      <w:tr w:rsidR="00BB272E" w:rsidRPr="00BB272E" w:rsidTr="000B20A4">
        <w:trPr>
          <w:trHeight w:val="444"/>
        </w:trPr>
        <w:tc>
          <w:tcPr>
            <w:tcW w:w="4761" w:type="dxa"/>
            <w:tcBorders>
              <w:top w:val="nil"/>
              <w:left w:val="single" w:sz="4" w:space="0" w:color="000000"/>
              <w:bottom w:val="single" w:sz="4" w:space="0" w:color="000000"/>
              <w:right w:val="single" w:sz="4" w:space="0" w:color="000000"/>
            </w:tcBorders>
            <w:shd w:val="clear" w:color="auto" w:fill="auto"/>
            <w:hideMark/>
          </w:tcPr>
          <w:p w:rsidR="00BB272E" w:rsidRPr="00BB272E" w:rsidRDefault="00BB272E" w:rsidP="00BB272E">
            <w:pPr>
              <w:widowControl/>
              <w:autoSpaceDE/>
              <w:autoSpaceDN/>
              <w:rPr>
                <w:rFonts w:ascii="Arial" w:hAnsi="Arial" w:cs="Arial"/>
                <w:sz w:val="20"/>
                <w:szCs w:val="20"/>
                <w:lang w:val="et-EE" w:eastAsia="et-EE"/>
              </w:rPr>
            </w:pPr>
            <w:r w:rsidRPr="00BB272E">
              <w:rPr>
                <w:rFonts w:ascii="Arial" w:hAnsi="Arial" w:cs="Arial"/>
                <w:sz w:val="20"/>
                <w:szCs w:val="20"/>
                <w:lang w:val="et-EE" w:eastAsia="et-EE"/>
              </w:rPr>
              <w:t>SKP nominaalkasv, %</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9,5</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6,8</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5,1</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5,2</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5</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4,6</w:t>
            </w:r>
          </w:p>
        </w:tc>
      </w:tr>
      <w:tr w:rsidR="00BB272E" w:rsidRPr="00BB272E" w:rsidTr="000B20A4">
        <w:trPr>
          <w:trHeight w:val="444"/>
        </w:trPr>
        <w:tc>
          <w:tcPr>
            <w:tcW w:w="4761" w:type="dxa"/>
            <w:tcBorders>
              <w:top w:val="nil"/>
              <w:left w:val="single" w:sz="4" w:space="0" w:color="000000"/>
              <w:bottom w:val="single" w:sz="4" w:space="0" w:color="000000"/>
              <w:right w:val="single" w:sz="4" w:space="0" w:color="000000"/>
            </w:tcBorders>
            <w:shd w:val="clear" w:color="auto" w:fill="auto"/>
            <w:hideMark/>
          </w:tcPr>
          <w:p w:rsidR="00BB272E" w:rsidRPr="00BB272E" w:rsidRDefault="00BB272E" w:rsidP="00BB272E">
            <w:pPr>
              <w:widowControl/>
              <w:autoSpaceDE/>
              <w:autoSpaceDN/>
              <w:rPr>
                <w:rFonts w:ascii="Arial" w:hAnsi="Arial" w:cs="Arial"/>
                <w:sz w:val="20"/>
                <w:szCs w:val="20"/>
                <w:lang w:val="et-EE" w:eastAsia="et-EE"/>
              </w:rPr>
            </w:pPr>
            <w:r w:rsidRPr="00BB272E">
              <w:rPr>
                <w:rFonts w:ascii="Arial" w:hAnsi="Arial" w:cs="Arial"/>
                <w:sz w:val="20"/>
                <w:szCs w:val="20"/>
                <w:lang w:val="et-EE" w:eastAsia="et-EE"/>
              </w:rPr>
              <w:t>Kaupade ja teenuste eksport</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4,3</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3,4</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2,4</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3,3</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3,3</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3,2</w:t>
            </w:r>
          </w:p>
        </w:tc>
      </w:tr>
      <w:tr w:rsidR="00BB272E" w:rsidRPr="00BB272E" w:rsidTr="000B20A4">
        <w:trPr>
          <w:trHeight w:val="444"/>
        </w:trPr>
        <w:tc>
          <w:tcPr>
            <w:tcW w:w="4761" w:type="dxa"/>
            <w:tcBorders>
              <w:top w:val="nil"/>
              <w:left w:val="single" w:sz="4" w:space="0" w:color="000000"/>
              <w:bottom w:val="single" w:sz="4" w:space="0" w:color="000000"/>
              <w:right w:val="single" w:sz="4" w:space="0" w:color="000000"/>
            </w:tcBorders>
            <w:shd w:val="clear" w:color="auto" w:fill="auto"/>
            <w:hideMark/>
          </w:tcPr>
          <w:p w:rsidR="00BB272E" w:rsidRPr="00BB272E" w:rsidRDefault="00BB272E" w:rsidP="00BB272E">
            <w:pPr>
              <w:widowControl/>
              <w:autoSpaceDE/>
              <w:autoSpaceDN/>
              <w:rPr>
                <w:rFonts w:ascii="Arial" w:hAnsi="Arial" w:cs="Arial"/>
                <w:sz w:val="20"/>
                <w:szCs w:val="20"/>
                <w:lang w:val="et-EE" w:eastAsia="et-EE"/>
              </w:rPr>
            </w:pPr>
            <w:r w:rsidRPr="00BB272E">
              <w:rPr>
                <w:rFonts w:ascii="Arial" w:hAnsi="Arial" w:cs="Arial"/>
                <w:sz w:val="20"/>
                <w:szCs w:val="20"/>
                <w:lang w:val="et-EE" w:eastAsia="et-EE"/>
              </w:rPr>
              <w:t>Tarbijahinnaindeksi muutus, %</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3,4</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2,2</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2,2</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2,1</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2,1</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2,0</w:t>
            </w:r>
          </w:p>
        </w:tc>
      </w:tr>
      <w:tr w:rsidR="00BB272E" w:rsidRPr="00BB272E" w:rsidTr="000B20A4">
        <w:trPr>
          <w:trHeight w:val="444"/>
        </w:trPr>
        <w:tc>
          <w:tcPr>
            <w:tcW w:w="4761" w:type="dxa"/>
            <w:tcBorders>
              <w:top w:val="nil"/>
              <w:left w:val="single" w:sz="4" w:space="0" w:color="000000"/>
              <w:bottom w:val="single" w:sz="4" w:space="0" w:color="000000"/>
              <w:right w:val="single" w:sz="4" w:space="0" w:color="000000"/>
            </w:tcBorders>
            <w:shd w:val="clear" w:color="auto" w:fill="auto"/>
            <w:hideMark/>
          </w:tcPr>
          <w:p w:rsidR="00BB272E" w:rsidRPr="00BB272E" w:rsidRDefault="00BB272E" w:rsidP="00BB272E">
            <w:pPr>
              <w:widowControl/>
              <w:autoSpaceDE/>
              <w:autoSpaceDN/>
              <w:rPr>
                <w:rFonts w:ascii="Arial" w:hAnsi="Arial" w:cs="Arial"/>
                <w:sz w:val="20"/>
                <w:szCs w:val="20"/>
                <w:lang w:val="et-EE" w:eastAsia="et-EE"/>
              </w:rPr>
            </w:pPr>
            <w:r w:rsidRPr="00BB272E">
              <w:rPr>
                <w:rFonts w:ascii="Arial" w:hAnsi="Arial" w:cs="Arial"/>
                <w:sz w:val="20"/>
                <w:szCs w:val="20"/>
                <w:lang w:val="et-EE" w:eastAsia="et-EE"/>
              </w:rPr>
              <w:t>Keskmine palk, eurot</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1310</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1404</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1484</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1560</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1638</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1719</w:t>
            </w:r>
          </w:p>
        </w:tc>
      </w:tr>
      <w:tr w:rsidR="00BB272E" w:rsidRPr="00BB272E" w:rsidTr="000B20A4">
        <w:trPr>
          <w:trHeight w:val="444"/>
        </w:trPr>
        <w:tc>
          <w:tcPr>
            <w:tcW w:w="4761" w:type="dxa"/>
            <w:tcBorders>
              <w:top w:val="nil"/>
              <w:left w:val="single" w:sz="4" w:space="0" w:color="000000"/>
              <w:bottom w:val="single" w:sz="4" w:space="0" w:color="000000"/>
              <w:right w:val="single" w:sz="4" w:space="0" w:color="000000"/>
            </w:tcBorders>
            <w:shd w:val="clear" w:color="auto" w:fill="auto"/>
            <w:hideMark/>
          </w:tcPr>
          <w:p w:rsidR="00BB272E" w:rsidRPr="00BB272E" w:rsidRDefault="00BB272E" w:rsidP="00BB272E">
            <w:pPr>
              <w:widowControl/>
              <w:autoSpaceDE/>
              <w:autoSpaceDN/>
              <w:rPr>
                <w:rFonts w:ascii="Arial" w:hAnsi="Arial" w:cs="Arial"/>
                <w:sz w:val="20"/>
                <w:szCs w:val="20"/>
                <w:lang w:val="et-EE" w:eastAsia="et-EE"/>
              </w:rPr>
            </w:pPr>
            <w:r w:rsidRPr="00BB272E">
              <w:rPr>
                <w:rFonts w:ascii="Arial" w:hAnsi="Arial" w:cs="Arial"/>
                <w:sz w:val="20"/>
                <w:szCs w:val="20"/>
                <w:lang w:val="et-EE" w:eastAsia="et-EE"/>
              </w:rPr>
              <w:t>Keskmise palga reaalkasv, %</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4,0</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4,8</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3,4</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2,9</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2,9</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2,8</w:t>
            </w:r>
          </w:p>
        </w:tc>
      </w:tr>
      <w:tr w:rsidR="00BB272E" w:rsidRPr="00BB272E" w:rsidTr="000B20A4">
        <w:trPr>
          <w:trHeight w:val="444"/>
        </w:trPr>
        <w:tc>
          <w:tcPr>
            <w:tcW w:w="4761" w:type="dxa"/>
            <w:tcBorders>
              <w:top w:val="nil"/>
              <w:left w:val="single" w:sz="4" w:space="0" w:color="000000"/>
              <w:bottom w:val="single" w:sz="4" w:space="0" w:color="000000"/>
              <w:right w:val="single" w:sz="4" w:space="0" w:color="000000"/>
            </w:tcBorders>
            <w:shd w:val="clear" w:color="auto" w:fill="auto"/>
            <w:hideMark/>
          </w:tcPr>
          <w:p w:rsidR="00BB272E" w:rsidRPr="00BB272E" w:rsidRDefault="00BB272E" w:rsidP="00BB272E">
            <w:pPr>
              <w:widowControl/>
              <w:autoSpaceDE/>
              <w:autoSpaceDN/>
              <w:rPr>
                <w:rFonts w:ascii="Arial" w:hAnsi="Arial" w:cs="Arial"/>
                <w:sz w:val="20"/>
                <w:szCs w:val="20"/>
                <w:lang w:val="et-EE" w:eastAsia="et-EE"/>
              </w:rPr>
            </w:pPr>
            <w:r w:rsidRPr="00BB272E">
              <w:rPr>
                <w:rFonts w:ascii="Arial" w:hAnsi="Arial" w:cs="Arial"/>
                <w:sz w:val="20"/>
                <w:szCs w:val="20"/>
                <w:lang w:val="et-EE" w:eastAsia="et-EE"/>
              </w:rPr>
              <w:t>Keskmise palga nominaalkasv, %</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7,6</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7,2</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5,7</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5,1</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5,0</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4,9</w:t>
            </w:r>
          </w:p>
        </w:tc>
      </w:tr>
      <w:tr w:rsidR="00BB272E" w:rsidRPr="00BB272E" w:rsidTr="000B20A4">
        <w:trPr>
          <w:trHeight w:val="444"/>
        </w:trPr>
        <w:tc>
          <w:tcPr>
            <w:tcW w:w="4761" w:type="dxa"/>
            <w:tcBorders>
              <w:top w:val="nil"/>
              <w:left w:val="single" w:sz="4" w:space="0" w:color="000000"/>
              <w:bottom w:val="single" w:sz="4" w:space="0" w:color="000000"/>
              <w:right w:val="single" w:sz="4" w:space="0" w:color="000000"/>
            </w:tcBorders>
            <w:shd w:val="clear" w:color="auto" w:fill="auto"/>
            <w:hideMark/>
          </w:tcPr>
          <w:p w:rsidR="00BB272E" w:rsidRPr="00BB272E" w:rsidRDefault="00BB272E" w:rsidP="00BB272E">
            <w:pPr>
              <w:widowControl/>
              <w:autoSpaceDE/>
              <w:autoSpaceDN/>
              <w:rPr>
                <w:rFonts w:ascii="Arial" w:hAnsi="Arial" w:cs="Arial"/>
                <w:sz w:val="20"/>
                <w:szCs w:val="20"/>
                <w:lang w:val="et-EE" w:eastAsia="et-EE"/>
              </w:rPr>
            </w:pPr>
            <w:r w:rsidRPr="00BB272E">
              <w:rPr>
                <w:rFonts w:ascii="Arial" w:hAnsi="Arial" w:cs="Arial"/>
                <w:sz w:val="20"/>
                <w:szCs w:val="20"/>
                <w:lang w:val="et-EE" w:eastAsia="et-EE"/>
              </w:rPr>
              <w:t>Tööhõive kasv, %</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0,9</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1</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0,1</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0</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-0,1</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-0,2</w:t>
            </w:r>
          </w:p>
        </w:tc>
      </w:tr>
      <w:tr w:rsidR="00BB272E" w:rsidRPr="00BB272E" w:rsidTr="000B20A4">
        <w:trPr>
          <w:trHeight w:val="444"/>
        </w:trPr>
        <w:tc>
          <w:tcPr>
            <w:tcW w:w="4761" w:type="dxa"/>
            <w:tcBorders>
              <w:top w:val="nil"/>
              <w:left w:val="single" w:sz="4" w:space="0" w:color="000000"/>
              <w:bottom w:val="single" w:sz="4" w:space="0" w:color="000000"/>
              <w:right w:val="single" w:sz="4" w:space="0" w:color="000000"/>
            </w:tcBorders>
            <w:shd w:val="clear" w:color="auto" w:fill="auto"/>
            <w:hideMark/>
          </w:tcPr>
          <w:p w:rsidR="00BB272E" w:rsidRPr="00BB272E" w:rsidRDefault="00BB272E" w:rsidP="00BB272E">
            <w:pPr>
              <w:widowControl/>
              <w:autoSpaceDE/>
              <w:autoSpaceDN/>
              <w:rPr>
                <w:rFonts w:ascii="Arial" w:hAnsi="Arial" w:cs="Arial"/>
                <w:sz w:val="20"/>
                <w:szCs w:val="20"/>
                <w:lang w:val="et-EE" w:eastAsia="et-EE"/>
              </w:rPr>
            </w:pPr>
            <w:r w:rsidRPr="00BB272E">
              <w:rPr>
                <w:rFonts w:ascii="Arial" w:hAnsi="Arial" w:cs="Arial"/>
                <w:sz w:val="20"/>
                <w:szCs w:val="20"/>
                <w:lang w:val="et-EE" w:eastAsia="et-EE"/>
              </w:rPr>
              <w:t>Töötuse määr, %</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5,4</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5</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5,2</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5,4</w:t>
            </w:r>
          </w:p>
        </w:tc>
        <w:tc>
          <w:tcPr>
            <w:tcW w:w="901"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5,5</w:t>
            </w:r>
          </w:p>
        </w:tc>
        <w:tc>
          <w:tcPr>
            <w:tcW w:w="884" w:type="dxa"/>
            <w:tcBorders>
              <w:top w:val="nil"/>
              <w:left w:val="nil"/>
              <w:bottom w:val="single" w:sz="4" w:space="0" w:color="000000"/>
              <w:right w:val="single" w:sz="4" w:space="0" w:color="000000"/>
            </w:tcBorders>
            <w:shd w:val="clear" w:color="auto" w:fill="auto"/>
            <w:noWrap/>
            <w:hideMark/>
          </w:tcPr>
          <w:p w:rsidR="00BB272E" w:rsidRPr="00BB272E" w:rsidRDefault="00BB272E" w:rsidP="00BB272E">
            <w:pPr>
              <w:widowControl/>
              <w:autoSpaceDE/>
              <w:autoSpaceDN/>
              <w:jc w:val="right"/>
              <w:rPr>
                <w:rFonts w:ascii="Arial" w:hAnsi="Arial" w:cs="Arial"/>
                <w:color w:val="000000"/>
                <w:sz w:val="20"/>
                <w:szCs w:val="20"/>
                <w:lang w:val="et-EE" w:eastAsia="et-EE"/>
              </w:rPr>
            </w:pPr>
            <w:r w:rsidRPr="00BB272E">
              <w:rPr>
                <w:rFonts w:ascii="Arial" w:hAnsi="Arial" w:cs="Arial"/>
                <w:color w:val="000000"/>
                <w:sz w:val="20"/>
                <w:szCs w:val="20"/>
                <w:lang w:val="et-EE" w:eastAsia="et-EE"/>
              </w:rPr>
              <w:t>5,6</w:t>
            </w:r>
          </w:p>
        </w:tc>
      </w:tr>
    </w:tbl>
    <w:p w:rsidR="00BB272E" w:rsidRDefault="00BB272E" w:rsidP="00326510">
      <w:pPr>
        <w:jc w:val="both"/>
        <w:rPr>
          <w:i/>
          <w:sz w:val="24"/>
          <w:szCs w:val="24"/>
        </w:rPr>
      </w:pPr>
    </w:p>
    <w:p w:rsidR="009F6F14" w:rsidRPr="00CB5301" w:rsidRDefault="00CB5301" w:rsidP="00CB5301">
      <w:pPr>
        <w:jc w:val="both"/>
        <w:rPr>
          <w:sz w:val="24"/>
          <w:szCs w:val="24"/>
        </w:rPr>
      </w:pPr>
      <w:r w:rsidRPr="00CB5301">
        <w:rPr>
          <w:sz w:val="24"/>
          <w:szCs w:val="24"/>
        </w:rPr>
        <w:t>Majanduskasv aeglustub nõrgeneva väliskeskkonna tõttu oluliselt. Eesti</w:t>
      </w:r>
      <w:r>
        <w:rPr>
          <w:sz w:val="24"/>
          <w:szCs w:val="24"/>
        </w:rPr>
        <w:t xml:space="preserve"> </w:t>
      </w:r>
      <w:r w:rsidRPr="00CB5301">
        <w:rPr>
          <w:sz w:val="24"/>
          <w:szCs w:val="24"/>
        </w:rPr>
        <w:t>ekspordipartnerite impordi kasv aeglustub sellel aastal üle kahe korra, mistõttu</w:t>
      </w:r>
      <w:r>
        <w:rPr>
          <w:sz w:val="24"/>
          <w:szCs w:val="24"/>
        </w:rPr>
        <w:t xml:space="preserve"> </w:t>
      </w:r>
      <w:r w:rsidRPr="00CB5301">
        <w:rPr>
          <w:sz w:val="24"/>
          <w:szCs w:val="24"/>
        </w:rPr>
        <w:t>langeb ka Eesti majanduse kasvutempo ajutiselt 2 protsendi lähedale. Praeguste</w:t>
      </w:r>
      <w:r>
        <w:rPr>
          <w:sz w:val="24"/>
          <w:szCs w:val="24"/>
        </w:rPr>
        <w:t xml:space="preserve"> </w:t>
      </w:r>
      <w:r w:rsidRPr="00CB5301">
        <w:rPr>
          <w:sz w:val="24"/>
          <w:szCs w:val="24"/>
        </w:rPr>
        <w:t>prognooside järgi jääb globaalne kasvu taandumine ajutiseks, mistõttu see töötuse</w:t>
      </w:r>
      <w:r>
        <w:rPr>
          <w:sz w:val="24"/>
          <w:szCs w:val="24"/>
        </w:rPr>
        <w:t xml:space="preserve"> </w:t>
      </w:r>
      <w:r w:rsidRPr="00CB5301">
        <w:rPr>
          <w:sz w:val="24"/>
          <w:szCs w:val="24"/>
        </w:rPr>
        <w:t>märkimisväärset kasvu kaasa ei too.</w:t>
      </w:r>
    </w:p>
    <w:p w:rsidR="009F6F14" w:rsidRPr="00CB5301" w:rsidRDefault="009F6F14" w:rsidP="00326510">
      <w:pPr>
        <w:jc w:val="both"/>
        <w:rPr>
          <w:sz w:val="24"/>
          <w:szCs w:val="24"/>
        </w:rPr>
      </w:pPr>
    </w:p>
    <w:tbl>
      <w:tblPr>
        <w:tblW w:w="10145" w:type="dxa"/>
        <w:tblCellMar>
          <w:left w:w="70" w:type="dxa"/>
          <w:right w:w="70" w:type="dxa"/>
        </w:tblCellMar>
        <w:tblLook w:val="04A0" w:firstRow="1" w:lastRow="0" w:firstColumn="1" w:lastColumn="0" w:noHBand="0" w:noVBand="1"/>
      </w:tblPr>
      <w:tblGrid>
        <w:gridCol w:w="3514"/>
        <w:gridCol w:w="1011"/>
        <w:gridCol w:w="163"/>
        <w:gridCol w:w="163"/>
        <w:gridCol w:w="688"/>
        <w:gridCol w:w="255"/>
        <w:gridCol w:w="595"/>
        <w:gridCol w:w="270"/>
        <w:gridCol w:w="163"/>
        <w:gridCol w:w="163"/>
        <w:gridCol w:w="439"/>
        <w:gridCol w:w="479"/>
        <w:gridCol w:w="186"/>
        <w:gridCol w:w="251"/>
        <w:gridCol w:w="541"/>
        <w:gridCol w:w="270"/>
        <w:gridCol w:w="165"/>
        <w:gridCol w:w="208"/>
        <w:gridCol w:w="457"/>
        <w:gridCol w:w="164"/>
      </w:tblGrid>
      <w:tr w:rsidR="00CB5301" w:rsidRPr="00CB5301" w:rsidTr="000B20A4">
        <w:trPr>
          <w:trHeight w:val="267"/>
        </w:trPr>
        <w:tc>
          <w:tcPr>
            <w:tcW w:w="4525" w:type="dxa"/>
            <w:gridSpan w:val="2"/>
            <w:tcBorders>
              <w:top w:val="nil"/>
              <w:left w:val="nil"/>
              <w:bottom w:val="nil"/>
              <w:right w:val="nil"/>
            </w:tcBorders>
            <w:shd w:val="clear" w:color="auto" w:fill="auto"/>
            <w:noWrap/>
            <w:hideMark/>
          </w:tcPr>
          <w:p w:rsidR="00CB5301" w:rsidRPr="00CB5301" w:rsidRDefault="00CB5301" w:rsidP="00CB5301">
            <w:pPr>
              <w:widowControl/>
              <w:autoSpaceDE/>
              <w:autoSpaceDN/>
              <w:rPr>
                <w:rFonts w:ascii="Trebuchet MS" w:hAnsi="Trebuchet MS"/>
                <w:b/>
                <w:bCs/>
                <w:lang w:val="et-EE" w:eastAsia="et-EE"/>
              </w:rPr>
            </w:pPr>
            <w:r w:rsidRPr="00CB5301">
              <w:rPr>
                <w:rFonts w:ascii="Trebuchet MS" w:hAnsi="Trebuchet MS"/>
                <w:b/>
                <w:bCs/>
                <w:lang w:val="et-EE" w:eastAsia="et-EE"/>
              </w:rPr>
              <w:t>Majanduskasvu prognoos 2019–2023</w:t>
            </w:r>
          </w:p>
        </w:tc>
        <w:tc>
          <w:tcPr>
            <w:tcW w:w="163" w:type="dxa"/>
            <w:tcBorders>
              <w:top w:val="nil"/>
              <w:left w:val="nil"/>
              <w:bottom w:val="nil"/>
              <w:right w:val="nil"/>
            </w:tcBorders>
            <w:shd w:val="clear" w:color="auto" w:fill="auto"/>
            <w:noWrap/>
            <w:hideMark/>
          </w:tcPr>
          <w:p w:rsidR="00CB5301" w:rsidRPr="00CB5301" w:rsidRDefault="00CB5301" w:rsidP="00CB5301">
            <w:pPr>
              <w:widowControl/>
              <w:autoSpaceDE/>
              <w:autoSpaceDN/>
              <w:rPr>
                <w:rFonts w:ascii="Trebuchet MS" w:hAnsi="Trebuchet MS"/>
                <w:b/>
                <w:bCs/>
                <w:lang w:val="et-EE" w:eastAsia="et-EE"/>
              </w:rPr>
            </w:pPr>
          </w:p>
        </w:tc>
        <w:tc>
          <w:tcPr>
            <w:tcW w:w="163"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687"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255"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595"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270"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163"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163"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437"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479"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186"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250"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541"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270"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163"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208"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457"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163"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r>
      <w:tr w:rsidR="00CB5301" w:rsidRPr="00CB5301" w:rsidTr="000B20A4">
        <w:trPr>
          <w:trHeight w:val="238"/>
        </w:trPr>
        <w:tc>
          <w:tcPr>
            <w:tcW w:w="4525" w:type="dxa"/>
            <w:gridSpan w:val="2"/>
            <w:tcBorders>
              <w:top w:val="single" w:sz="4" w:space="0" w:color="000000"/>
              <w:left w:val="nil"/>
              <w:bottom w:val="single" w:sz="4" w:space="0" w:color="000000"/>
              <w:right w:val="nil"/>
            </w:tcBorders>
            <w:shd w:val="clear" w:color="auto" w:fill="auto"/>
            <w:hideMark/>
          </w:tcPr>
          <w:p w:rsidR="00CB5301" w:rsidRPr="00CB5301" w:rsidRDefault="00CB5301" w:rsidP="00CB5301">
            <w:pPr>
              <w:widowControl/>
              <w:autoSpaceDE/>
              <w:autoSpaceDN/>
              <w:ind w:firstLineChars="200" w:firstLine="400"/>
              <w:jc w:val="right"/>
              <w:rPr>
                <w:rFonts w:ascii="Trebuchet MS" w:hAnsi="Trebuchet MS"/>
                <w:sz w:val="20"/>
                <w:szCs w:val="20"/>
                <w:lang w:val="et-EE" w:eastAsia="et-EE"/>
              </w:rPr>
            </w:pPr>
            <w:r w:rsidRPr="00CB5301">
              <w:rPr>
                <w:rFonts w:ascii="Trebuchet MS" w:hAnsi="Trebuchet MS"/>
                <w:sz w:val="20"/>
                <w:szCs w:val="20"/>
                <w:lang w:val="et-EE" w:eastAsia="et-EE"/>
              </w:rPr>
              <w:t>2005–2017</w:t>
            </w:r>
          </w:p>
        </w:tc>
        <w:tc>
          <w:tcPr>
            <w:tcW w:w="1014" w:type="dxa"/>
            <w:gridSpan w:val="3"/>
            <w:tcBorders>
              <w:top w:val="single" w:sz="4" w:space="0" w:color="000000"/>
              <w:left w:val="nil"/>
              <w:bottom w:val="single" w:sz="4" w:space="0" w:color="000000"/>
              <w:right w:val="nil"/>
            </w:tcBorders>
            <w:shd w:val="clear" w:color="auto" w:fill="auto"/>
            <w:noWrap/>
            <w:hideMark/>
          </w:tcPr>
          <w:p w:rsidR="00CB5301" w:rsidRPr="00CB5301" w:rsidRDefault="00CB5301" w:rsidP="00CB5301">
            <w:pPr>
              <w:widowControl/>
              <w:autoSpaceDE/>
              <w:autoSpaceDN/>
              <w:ind w:firstLineChars="100" w:firstLine="2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2018</w:t>
            </w:r>
          </w:p>
        </w:tc>
        <w:tc>
          <w:tcPr>
            <w:tcW w:w="850" w:type="dxa"/>
            <w:gridSpan w:val="2"/>
            <w:tcBorders>
              <w:top w:val="single" w:sz="4" w:space="0" w:color="000000"/>
              <w:left w:val="nil"/>
              <w:bottom w:val="single" w:sz="4" w:space="0" w:color="000000"/>
              <w:right w:val="nil"/>
            </w:tcBorders>
            <w:shd w:val="clear" w:color="auto" w:fill="auto"/>
            <w:noWrap/>
            <w:hideMark/>
          </w:tcPr>
          <w:p w:rsidR="00CB5301" w:rsidRPr="00CB5301" w:rsidRDefault="00CB5301" w:rsidP="00CB5301">
            <w:pPr>
              <w:widowControl/>
              <w:autoSpaceDE/>
              <w:autoSpaceDN/>
              <w:ind w:firstLineChars="100" w:firstLine="2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2019</w:t>
            </w:r>
          </w:p>
        </w:tc>
        <w:tc>
          <w:tcPr>
            <w:tcW w:w="1035" w:type="dxa"/>
            <w:gridSpan w:val="4"/>
            <w:tcBorders>
              <w:top w:val="single" w:sz="4" w:space="0" w:color="000000"/>
              <w:left w:val="nil"/>
              <w:bottom w:val="single" w:sz="4" w:space="0" w:color="000000"/>
              <w:right w:val="nil"/>
            </w:tcBorders>
            <w:shd w:val="clear" w:color="auto" w:fill="auto"/>
            <w:noWrap/>
            <w:hideMark/>
          </w:tcPr>
          <w:p w:rsidR="00CB5301" w:rsidRPr="00CB5301" w:rsidRDefault="00CB5301" w:rsidP="00CB5301">
            <w:pPr>
              <w:widowControl/>
              <w:autoSpaceDE/>
              <w:autoSpaceDN/>
              <w:ind w:firstLineChars="100" w:firstLine="2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2020</w:t>
            </w:r>
          </w:p>
        </w:tc>
        <w:tc>
          <w:tcPr>
            <w:tcW w:w="916" w:type="dxa"/>
            <w:gridSpan w:val="3"/>
            <w:tcBorders>
              <w:top w:val="single" w:sz="4" w:space="0" w:color="000000"/>
              <w:left w:val="nil"/>
              <w:bottom w:val="single" w:sz="4" w:space="0" w:color="000000"/>
              <w:right w:val="nil"/>
            </w:tcBorders>
            <w:shd w:val="clear" w:color="auto" w:fill="auto"/>
            <w:noWrap/>
            <w:hideMark/>
          </w:tcPr>
          <w:p w:rsidR="00CB5301" w:rsidRPr="00CB5301" w:rsidRDefault="00CB5301" w:rsidP="00CB5301">
            <w:pPr>
              <w:widowControl/>
              <w:autoSpaceDE/>
              <w:autoSpaceDN/>
              <w:ind w:firstLineChars="100" w:firstLine="2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2021</w:t>
            </w:r>
          </w:p>
        </w:tc>
        <w:tc>
          <w:tcPr>
            <w:tcW w:w="976" w:type="dxa"/>
            <w:gridSpan w:val="3"/>
            <w:tcBorders>
              <w:top w:val="single" w:sz="4" w:space="0" w:color="000000"/>
              <w:left w:val="nil"/>
              <w:bottom w:val="single" w:sz="4" w:space="0" w:color="000000"/>
              <w:right w:val="nil"/>
            </w:tcBorders>
            <w:shd w:val="clear" w:color="auto" w:fill="auto"/>
            <w:noWrap/>
            <w:hideMark/>
          </w:tcPr>
          <w:p w:rsidR="00CB5301" w:rsidRPr="00CB5301" w:rsidRDefault="00CB5301" w:rsidP="00CB5301">
            <w:pPr>
              <w:widowControl/>
              <w:autoSpaceDE/>
              <w:autoSpaceDN/>
              <w:ind w:firstLineChars="100" w:firstLine="2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2022</w:t>
            </w:r>
          </w:p>
        </w:tc>
        <w:tc>
          <w:tcPr>
            <w:tcW w:w="829" w:type="dxa"/>
            <w:gridSpan w:val="3"/>
            <w:tcBorders>
              <w:top w:val="single" w:sz="4" w:space="0" w:color="000000"/>
              <w:left w:val="nil"/>
              <w:bottom w:val="single" w:sz="4" w:space="0" w:color="000000"/>
              <w:right w:val="nil"/>
            </w:tcBorders>
            <w:shd w:val="clear" w:color="auto" w:fill="auto"/>
            <w:noWrap/>
            <w:hideMark/>
          </w:tcPr>
          <w:p w:rsidR="00CB5301" w:rsidRPr="00CB5301" w:rsidRDefault="00CB5301" w:rsidP="00CB5301">
            <w:pPr>
              <w:widowControl/>
              <w:autoSpaceDE/>
              <w:autoSpaceDN/>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2023</w:t>
            </w:r>
          </w:p>
        </w:tc>
      </w:tr>
      <w:tr w:rsidR="00CB5301" w:rsidRPr="00CB5301" w:rsidTr="000B20A4">
        <w:trPr>
          <w:trHeight w:val="238"/>
        </w:trPr>
        <w:tc>
          <w:tcPr>
            <w:tcW w:w="3514" w:type="dxa"/>
            <w:tcBorders>
              <w:top w:val="single" w:sz="4" w:space="0" w:color="000000"/>
              <w:left w:val="nil"/>
              <w:bottom w:val="nil"/>
              <w:right w:val="nil"/>
            </w:tcBorders>
            <w:shd w:val="clear" w:color="000000" w:fill="FAE3D4"/>
            <w:hideMark/>
          </w:tcPr>
          <w:p w:rsidR="00CB5301" w:rsidRPr="00CB5301" w:rsidRDefault="00CB5301" w:rsidP="00CB5301">
            <w:pPr>
              <w:widowControl/>
              <w:autoSpaceDE/>
              <w:autoSpaceDN/>
              <w:rPr>
                <w:rFonts w:ascii="Trebuchet MS" w:hAnsi="Trebuchet MS"/>
                <w:b/>
                <w:bCs/>
                <w:sz w:val="20"/>
                <w:szCs w:val="20"/>
                <w:lang w:val="et-EE" w:eastAsia="et-EE"/>
              </w:rPr>
            </w:pPr>
            <w:r w:rsidRPr="00CB5301">
              <w:rPr>
                <w:rFonts w:ascii="Trebuchet MS" w:hAnsi="Trebuchet MS"/>
                <w:b/>
                <w:bCs/>
                <w:sz w:val="20"/>
                <w:szCs w:val="20"/>
                <w:lang w:val="et-EE" w:eastAsia="et-EE"/>
              </w:rPr>
              <w:t>SKP reaalkasv, %</w:t>
            </w:r>
          </w:p>
        </w:tc>
        <w:tc>
          <w:tcPr>
            <w:tcW w:w="1010" w:type="dxa"/>
            <w:tcBorders>
              <w:top w:val="nil"/>
              <w:left w:val="nil"/>
              <w:bottom w:val="nil"/>
              <w:right w:val="nil"/>
            </w:tcBorders>
            <w:shd w:val="clear" w:color="000000" w:fill="FAE3D4"/>
            <w:noWrap/>
            <w:hideMark/>
          </w:tcPr>
          <w:p w:rsidR="00CB5301" w:rsidRPr="00CB5301" w:rsidRDefault="00CB5301" w:rsidP="00CB5301">
            <w:pPr>
              <w:widowControl/>
              <w:autoSpaceDE/>
              <w:autoSpaceDN/>
              <w:ind w:firstLineChars="200" w:firstLine="400"/>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2,7</w:t>
            </w:r>
          </w:p>
        </w:tc>
        <w:tc>
          <w:tcPr>
            <w:tcW w:w="1014" w:type="dxa"/>
            <w:gridSpan w:val="3"/>
            <w:tcBorders>
              <w:top w:val="single" w:sz="4" w:space="0" w:color="000000"/>
              <w:left w:val="nil"/>
              <w:bottom w:val="nil"/>
              <w:right w:val="nil"/>
            </w:tcBorders>
            <w:shd w:val="clear" w:color="000000" w:fill="FAE3D4"/>
            <w:noWrap/>
            <w:hideMark/>
          </w:tcPr>
          <w:p w:rsidR="00CB5301" w:rsidRPr="00CB5301" w:rsidRDefault="00CB5301" w:rsidP="00CB5301">
            <w:pPr>
              <w:widowControl/>
              <w:autoSpaceDE/>
              <w:autoSpaceDN/>
              <w:ind w:firstLineChars="100" w:firstLine="2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4,8</w:t>
            </w:r>
          </w:p>
        </w:tc>
        <w:tc>
          <w:tcPr>
            <w:tcW w:w="850" w:type="dxa"/>
            <w:gridSpan w:val="2"/>
            <w:tcBorders>
              <w:top w:val="single" w:sz="4" w:space="0" w:color="000000"/>
              <w:left w:val="nil"/>
              <w:bottom w:val="nil"/>
              <w:right w:val="nil"/>
            </w:tcBorders>
            <w:shd w:val="clear" w:color="000000" w:fill="FAE3D4"/>
            <w:noWrap/>
            <w:hideMark/>
          </w:tcPr>
          <w:p w:rsidR="00CB5301" w:rsidRPr="00CB5301" w:rsidRDefault="00CB5301" w:rsidP="00CB5301">
            <w:pPr>
              <w:widowControl/>
              <w:autoSpaceDE/>
              <w:autoSpaceDN/>
              <w:ind w:firstLineChars="100" w:firstLine="2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3,3</w:t>
            </w:r>
          </w:p>
        </w:tc>
        <w:tc>
          <w:tcPr>
            <w:tcW w:w="1035" w:type="dxa"/>
            <w:gridSpan w:val="4"/>
            <w:tcBorders>
              <w:top w:val="single" w:sz="4" w:space="0" w:color="000000"/>
              <w:left w:val="nil"/>
              <w:bottom w:val="nil"/>
              <w:right w:val="nil"/>
            </w:tcBorders>
            <w:shd w:val="clear" w:color="000000" w:fill="FAE3D4"/>
            <w:noWrap/>
            <w:hideMark/>
          </w:tcPr>
          <w:p w:rsidR="00CB5301" w:rsidRPr="00CB5301" w:rsidRDefault="00CB5301" w:rsidP="00CB5301">
            <w:pPr>
              <w:widowControl/>
              <w:autoSpaceDE/>
              <w:autoSpaceDN/>
              <w:ind w:firstLineChars="100" w:firstLine="2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2,2</w:t>
            </w:r>
          </w:p>
        </w:tc>
        <w:tc>
          <w:tcPr>
            <w:tcW w:w="916" w:type="dxa"/>
            <w:gridSpan w:val="3"/>
            <w:tcBorders>
              <w:top w:val="single" w:sz="4" w:space="0" w:color="000000"/>
              <w:left w:val="nil"/>
              <w:bottom w:val="nil"/>
              <w:right w:val="nil"/>
            </w:tcBorders>
            <w:shd w:val="clear" w:color="000000" w:fill="FAE3D4"/>
            <w:noWrap/>
            <w:hideMark/>
          </w:tcPr>
          <w:p w:rsidR="00CB5301" w:rsidRPr="00CB5301" w:rsidRDefault="00CB5301" w:rsidP="00CB5301">
            <w:pPr>
              <w:widowControl/>
              <w:autoSpaceDE/>
              <w:autoSpaceDN/>
              <w:ind w:firstLineChars="100" w:firstLine="2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2,6</w:t>
            </w:r>
          </w:p>
        </w:tc>
        <w:tc>
          <w:tcPr>
            <w:tcW w:w="976" w:type="dxa"/>
            <w:gridSpan w:val="3"/>
            <w:tcBorders>
              <w:top w:val="single" w:sz="4" w:space="0" w:color="000000"/>
              <w:left w:val="nil"/>
              <w:bottom w:val="nil"/>
              <w:right w:val="nil"/>
            </w:tcBorders>
            <w:shd w:val="clear" w:color="000000" w:fill="FAE3D4"/>
            <w:noWrap/>
            <w:hideMark/>
          </w:tcPr>
          <w:p w:rsidR="00CB5301" w:rsidRPr="00CB5301" w:rsidRDefault="00CB5301" w:rsidP="00CB5301">
            <w:pPr>
              <w:widowControl/>
              <w:autoSpaceDE/>
              <w:autoSpaceDN/>
              <w:ind w:firstLineChars="100" w:firstLine="2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2,5</w:t>
            </w:r>
          </w:p>
        </w:tc>
        <w:tc>
          <w:tcPr>
            <w:tcW w:w="829" w:type="dxa"/>
            <w:gridSpan w:val="3"/>
            <w:tcBorders>
              <w:top w:val="single" w:sz="4" w:space="0" w:color="000000"/>
              <w:left w:val="nil"/>
              <w:bottom w:val="nil"/>
              <w:right w:val="nil"/>
            </w:tcBorders>
            <w:shd w:val="clear" w:color="000000" w:fill="FAE3D4"/>
            <w:noWrap/>
            <w:hideMark/>
          </w:tcPr>
          <w:p w:rsidR="00CB5301" w:rsidRPr="00CB5301" w:rsidRDefault="00CB5301" w:rsidP="00CB5301">
            <w:pPr>
              <w:widowControl/>
              <w:autoSpaceDE/>
              <w:autoSpaceDN/>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2,3</w:t>
            </w:r>
          </w:p>
        </w:tc>
      </w:tr>
      <w:tr w:rsidR="00CB5301" w:rsidRPr="00CB5301" w:rsidTr="000B20A4">
        <w:trPr>
          <w:trHeight w:val="238"/>
        </w:trPr>
        <w:tc>
          <w:tcPr>
            <w:tcW w:w="3514" w:type="dxa"/>
            <w:tcBorders>
              <w:top w:val="nil"/>
              <w:left w:val="nil"/>
              <w:bottom w:val="nil"/>
              <w:right w:val="nil"/>
            </w:tcBorders>
            <w:shd w:val="clear" w:color="auto" w:fill="auto"/>
            <w:hideMark/>
          </w:tcPr>
          <w:p w:rsidR="00CB5301" w:rsidRPr="00CB5301" w:rsidRDefault="00CB5301" w:rsidP="00CB5301">
            <w:pPr>
              <w:widowControl/>
              <w:autoSpaceDE/>
              <w:autoSpaceDN/>
              <w:rPr>
                <w:rFonts w:ascii="Trebuchet MS" w:hAnsi="Trebuchet MS"/>
                <w:b/>
                <w:bCs/>
                <w:sz w:val="20"/>
                <w:szCs w:val="20"/>
                <w:lang w:val="et-EE" w:eastAsia="et-EE"/>
              </w:rPr>
            </w:pPr>
            <w:r w:rsidRPr="00CB5301">
              <w:rPr>
                <w:rFonts w:ascii="Trebuchet MS" w:hAnsi="Trebuchet MS"/>
                <w:b/>
                <w:bCs/>
                <w:sz w:val="20"/>
                <w:szCs w:val="20"/>
                <w:lang w:val="et-EE" w:eastAsia="et-EE"/>
              </w:rPr>
              <w:t>SKP nominaalkasv, %</w:t>
            </w:r>
          </w:p>
        </w:tc>
        <w:tc>
          <w:tcPr>
            <w:tcW w:w="1010" w:type="dxa"/>
            <w:tcBorders>
              <w:top w:val="nil"/>
              <w:left w:val="nil"/>
              <w:bottom w:val="nil"/>
              <w:right w:val="nil"/>
            </w:tcBorders>
            <w:shd w:val="clear" w:color="auto" w:fill="auto"/>
            <w:noWrap/>
            <w:hideMark/>
          </w:tcPr>
          <w:p w:rsidR="00CB5301" w:rsidRPr="00CB5301" w:rsidRDefault="00CB5301" w:rsidP="00CB5301">
            <w:pPr>
              <w:widowControl/>
              <w:autoSpaceDE/>
              <w:autoSpaceDN/>
              <w:ind w:firstLineChars="200" w:firstLine="400"/>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7,5</w:t>
            </w:r>
          </w:p>
        </w:tc>
        <w:tc>
          <w:tcPr>
            <w:tcW w:w="1014" w:type="dxa"/>
            <w:gridSpan w:val="3"/>
            <w:tcBorders>
              <w:top w:val="nil"/>
              <w:left w:val="nil"/>
              <w:bottom w:val="nil"/>
              <w:right w:val="nil"/>
            </w:tcBorders>
            <w:shd w:val="clear" w:color="auto" w:fill="auto"/>
            <w:noWrap/>
            <w:hideMark/>
          </w:tcPr>
          <w:p w:rsidR="00CB5301" w:rsidRPr="00CB5301" w:rsidRDefault="00CB5301" w:rsidP="00CB5301">
            <w:pPr>
              <w:widowControl/>
              <w:autoSpaceDE/>
              <w:autoSpaceDN/>
              <w:ind w:firstLineChars="100" w:firstLine="2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9,5</w:t>
            </w:r>
          </w:p>
        </w:tc>
        <w:tc>
          <w:tcPr>
            <w:tcW w:w="850" w:type="dxa"/>
            <w:gridSpan w:val="2"/>
            <w:tcBorders>
              <w:top w:val="nil"/>
              <w:left w:val="nil"/>
              <w:bottom w:val="nil"/>
              <w:right w:val="nil"/>
            </w:tcBorders>
            <w:shd w:val="clear" w:color="auto" w:fill="auto"/>
            <w:noWrap/>
            <w:hideMark/>
          </w:tcPr>
          <w:p w:rsidR="00CB5301" w:rsidRPr="00CB5301" w:rsidRDefault="00CB5301" w:rsidP="00CB5301">
            <w:pPr>
              <w:widowControl/>
              <w:autoSpaceDE/>
              <w:autoSpaceDN/>
              <w:ind w:firstLineChars="100" w:firstLine="2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6,8</w:t>
            </w:r>
          </w:p>
        </w:tc>
        <w:tc>
          <w:tcPr>
            <w:tcW w:w="1035" w:type="dxa"/>
            <w:gridSpan w:val="4"/>
            <w:tcBorders>
              <w:top w:val="nil"/>
              <w:left w:val="nil"/>
              <w:bottom w:val="nil"/>
              <w:right w:val="nil"/>
            </w:tcBorders>
            <w:shd w:val="clear" w:color="auto" w:fill="auto"/>
            <w:noWrap/>
            <w:hideMark/>
          </w:tcPr>
          <w:p w:rsidR="00CB5301" w:rsidRPr="00CB5301" w:rsidRDefault="00CB5301" w:rsidP="00CB5301">
            <w:pPr>
              <w:widowControl/>
              <w:autoSpaceDE/>
              <w:autoSpaceDN/>
              <w:ind w:firstLineChars="100" w:firstLine="2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5,1</w:t>
            </w:r>
          </w:p>
        </w:tc>
        <w:tc>
          <w:tcPr>
            <w:tcW w:w="916" w:type="dxa"/>
            <w:gridSpan w:val="3"/>
            <w:tcBorders>
              <w:top w:val="nil"/>
              <w:left w:val="nil"/>
              <w:bottom w:val="nil"/>
              <w:right w:val="nil"/>
            </w:tcBorders>
            <w:shd w:val="clear" w:color="auto" w:fill="auto"/>
            <w:noWrap/>
            <w:hideMark/>
          </w:tcPr>
          <w:p w:rsidR="00CB5301" w:rsidRPr="00CB5301" w:rsidRDefault="00CB5301" w:rsidP="00CB5301">
            <w:pPr>
              <w:widowControl/>
              <w:autoSpaceDE/>
              <w:autoSpaceDN/>
              <w:ind w:firstLineChars="100" w:firstLine="2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5,2</w:t>
            </w:r>
          </w:p>
        </w:tc>
        <w:tc>
          <w:tcPr>
            <w:tcW w:w="976" w:type="dxa"/>
            <w:gridSpan w:val="3"/>
            <w:tcBorders>
              <w:top w:val="nil"/>
              <w:left w:val="nil"/>
              <w:bottom w:val="nil"/>
              <w:right w:val="nil"/>
            </w:tcBorders>
            <w:shd w:val="clear" w:color="auto" w:fill="auto"/>
            <w:noWrap/>
            <w:hideMark/>
          </w:tcPr>
          <w:p w:rsidR="00CB5301" w:rsidRPr="00CB5301" w:rsidRDefault="00CB5301" w:rsidP="00CB5301">
            <w:pPr>
              <w:widowControl/>
              <w:autoSpaceDE/>
              <w:autoSpaceDN/>
              <w:ind w:firstLineChars="100" w:firstLine="2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5,0</w:t>
            </w:r>
          </w:p>
        </w:tc>
        <w:tc>
          <w:tcPr>
            <w:tcW w:w="829" w:type="dxa"/>
            <w:gridSpan w:val="3"/>
            <w:tcBorders>
              <w:top w:val="nil"/>
              <w:left w:val="nil"/>
              <w:bottom w:val="nil"/>
              <w:right w:val="nil"/>
            </w:tcBorders>
            <w:shd w:val="clear" w:color="auto" w:fill="auto"/>
            <w:noWrap/>
            <w:hideMark/>
          </w:tcPr>
          <w:p w:rsidR="00CB5301" w:rsidRPr="00CB5301" w:rsidRDefault="00CB5301" w:rsidP="00CB5301">
            <w:pPr>
              <w:widowControl/>
              <w:autoSpaceDE/>
              <w:autoSpaceDN/>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4,6</w:t>
            </w:r>
          </w:p>
        </w:tc>
      </w:tr>
      <w:tr w:rsidR="00CB5301" w:rsidRPr="00CB5301" w:rsidTr="000B20A4">
        <w:trPr>
          <w:trHeight w:val="238"/>
        </w:trPr>
        <w:tc>
          <w:tcPr>
            <w:tcW w:w="3514" w:type="dxa"/>
            <w:tcBorders>
              <w:top w:val="nil"/>
              <w:left w:val="nil"/>
              <w:bottom w:val="single" w:sz="4" w:space="0" w:color="000000"/>
              <w:right w:val="nil"/>
            </w:tcBorders>
            <w:shd w:val="clear" w:color="000000" w:fill="FAE3D4"/>
            <w:hideMark/>
          </w:tcPr>
          <w:p w:rsidR="00CB5301" w:rsidRPr="00CB5301" w:rsidRDefault="00CB5301" w:rsidP="00CB5301">
            <w:pPr>
              <w:widowControl/>
              <w:autoSpaceDE/>
              <w:autoSpaceDN/>
              <w:rPr>
                <w:rFonts w:ascii="Trebuchet MS" w:hAnsi="Trebuchet MS"/>
                <w:b/>
                <w:bCs/>
                <w:sz w:val="20"/>
                <w:szCs w:val="20"/>
                <w:lang w:val="et-EE" w:eastAsia="et-EE"/>
              </w:rPr>
            </w:pPr>
            <w:r w:rsidRPr="00CB5301">
              <w:rPr>
                <w:rFonts w:ascii="Trebuchet MS" w:hAnsi="Trebuchet MS"/>
                <w:b/>
                <w:bCs/>
                <w:sz w:val="20"/>
                <w:szCs w:val="20"/>
                <w:lang w:val="et-EE" w:eastAsia="et-EE"/>
              </w:rPr>
              <w:t>SKP jooksevhindades, miljardit eurot</w:t>
            </w:r>
          </w:p>
        </w:tc>
        <w:tc>
          <w:tcPr>
            <w:tcW w:w="1010" w:type="dxa"/>
            <w:tcBorders>
              <w:top w:val="nil"/>
              <w:left w:val="nil"/>
              <w:bottom w:val="single" w:sz="4" w:space="0" w:color="000000"/>
              <w:right w:val="nil"/>
            </w:tcBorders>
            <w:shd w:val="clear" w:color="000000" w:fill="FAE3D4"/>
            <w:vAlign w:val="bottom"/>
            <w:hideMark/>
          </w:tcPr>
          <w:p w:rsidR="00CB5301" w:rsidRPr="00CB5301" w:rsidRDefault="00CB5301" w:rsidP="00CB5301">
            <w:pPr>
              <w:widowControl/>
              <w:autoSpaceDE/>
              <w:autoSpaceDN/>
              <w:rPr>
                <w:color w:val="000000"/>
                <w:sz w:val="20"/>
                <w:szCs w:val="20"/>
                <w:lang w:val="et-EE" w:eastAsia="et-EE"/>
              </w:rPr>
            </w:pPr>
            <w:r w:rsidRPr="00CB5301">
              <w:rPr>
                <w:color w:val="000000"/>
                <w:sz w:val="20"/>
                <w:szCs w:val="20"/>
                <w:lang w:val="et-EE" w:eastAsia="et-EE"/>
              </w:rPr>
              <w:t> </w:t>
            </w:r>
          </w:p>
        </w:tc>
        <w:tc>
          <w:tcPr>
            <w:tcW w:w="1014" w:type="dxa"/>
            <w:gridSpan w:val="3"/>
            <w:tcBorders>
              <w:top w:val="nil"/>
              <w:left w:val="nil"/>
              <w:bottom w:val="single" w:sz="4" w:space="0" w:color="000000"/>
              <w:right w:val="nil"/>
            </w:tcBorders>
            <w:shd w:val="clear" w:color="000000" w:fill="FAE3D4"/>
            <w:noWrap/>
            <w:hideMark/>
          </w:tcPr>
          <w:p w:rsidR="00CB5301" w:rsidRPr="00CB5301" w:rsidRDefault="00CB5301" w:rsidP="00CB5301">
            <w:pPr>
              <w:widowControl/>
              <w:autoSpaceDE/>
              <w:autoSpaceDN/>
              <w:ind w:firstLineChars="100" w:firstLine="2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26,0</w:t>
            </w:r>
          </w:p>
        </w:tc>
        <w:tc>
          <w:tcPr>
            <w:tcW w:w="850" w:type="dxa"/>
            <w:gridSpan w:val="2"/>
            <w:tcBorders>
              <w:top w:val="nil"/>
              <w:left w:val="nil"/>
              <w:bottom w:val="single" w:sz="4" w:space="0" w:color="000000"/>
              <w:right w:val="nil"/>
            </w:tcBorders>
            <w:shd w:val="clear" w:color="000000" w:fill="FAE3D4"/>
            <w:noWrap/>
            <w:hideMark/>
          </w:tcPr>
          <w:p w:rsidR="00CB5301" w:rsidRPr="00CB5301" w:rsidRDefault="00CB5301" w:rsidP="00CB5301">
            <w:pPr>
              <w:widowControl/>
              <w:autoSpaceDE/>
              <w:autoSpaceDN/>
              <w:ind w:firstLineChars="100" w:firstLine="2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27,8</w:t>
            </w:r>
          </w:p>
        </w:tc>
        <w:tc>
          <w:tcPr>
            <w:tcW w:w="1035" w:type="dxa"/>
            <w:gridSpan w:val="4"/>
            <w:tcBorders>
              <w:top w:val="nil"/>
              <w:left w:val="nil"/>
              <w:bottom w:val="single" w:sz="4" w:space="0" w:color="000000"/>
              <w:right w:val="nil"/>
            </w:tcBorders>
            <w:shd w:val="clear" w:color="000000" w:fill="FAE3D4"/>
            <w:noWrap/>
            <w:hideMark/>
          </w:tcPr>
          <w:p w:rsidR="00CB5301" w:rsidRPr="00CB5301" w:rsidRDefault="00CB5301" w:rsidP="00CB5301">
            <w:pPr>
              <w:widowControl/>
              <w:autoSpaceDE/>
              <w:autoSpaceDN/>
              <w:ind w:firstLineChars="100" w:firstLine="2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29,2</w:t>
            </w:r>
          </w:p>
        </w:tc>
        <w:tc>
          <w:tcPr>
            <w:tcW w:w="916" w:type="dxa"/>
            <w:gridSpan w:val="3"/>
            <w:tcBorders>
              <w:top w:val="nil"/>
              <w:left w:val="nil"/>
              <w:bottom w:val="single" w:sz="4" w:space="0" w:color="000000"/>
              <w:right w:val="nil"/>
            </w:tcBorders>
            <w:shd w:val="clear" w:color="000000" w:fill="FAE3D4"/>
            <w:noWrap/>
            <w:hideMark/>
          </w:tcPr>
          <w:p w:rsidR="00CB5301" w:rsidRPr="00CB5301" w:rsidRDefault="00CB5301" w:rsidP="00CB5301">
            <w:pPr>
              <w:widowControl/>
              <w:autoSpaceDE/>
              <w:autoSpaceDN/>
              <w:ind w:firstLineChars="100" w:firstLine="2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30,7</w:t>
            </w:r>
          </w:p>
        </w:tc>
        <w:tc>
          <w:tcPr>
            <w:tcW w:w="976" w:type="dxa"/>
            <w:gridSpan w:val="3"/>
            <w:tcBorders>
              <w:top w:val="nil"/>
              <w:left w:val="nil"/>
              <w:bottom w:val="single" w:sz="4" w:space="0" w:color="000000"/>
              <w:right w:val="nil"/>
            </w:tcBorders>
            <w:shd w:val="clear" w:color="000000" w:fill="FAE3D4"/>
            <w:noWrap/>
            <w:hideMark/>
          </w:tcPr>
          <w:p w:rsidR="00CB5301" w:rsidRPr="00CB5301" w:rsidRDefault="00CB5301" w:rsidP="00CB5301">
            <w:pPr>
              <w:widowControl/>
              <w:autoSpaceDE/>
              <w:autoSpaceDN/>
              <w:ind w:firstLineChars="100" w:firstLine="2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32,3</w:t>
            </w:r>
          </w:p>
        </w:tc>
        <w:tc>
          <w:tcPr>
            <w:tcW w:w="829" w:type="dxa"/>
            <w:gridSpan w:val="3"/>
            <w:tcBorders>
              <w:top w:val="nil"/>
              <w:left w:val="nil"/>
              <w:bottom w:val="single" w:sz="4" w:space="0" w:color="000000"/>
              <w:right w:val="nil"/>
            </w:tcBorders>
            <w:shd w:val="clear" w:color="000000" w:fill="FAE3D4"/>
            <w:noWrap/>
            <w:hideMark/>
          </w:tcPr>
          <w:p w:rsidR="00CB5301" w:rsidRPr="00CB5301" w:rsidRDefault="00CB5301" w:rsidP="00CB5301">
            <w:pPr>
              <w:widowControl/>
              <w:autoSpaceDE/>
              <w:autoSpaceDN/>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33,7</w:t>
            </w:r>
          </w:p>
        </w:tc>
      </w:tr>
    </w:tbl>
    <w:p w:rsidR="00CB5301" w:rsidRPr="00CB5301" w:rsidRDefault="00CB5301" w:rsidP="00326510">
      <w:pPr>
        <w:jc w:val="both"/>
        <w:rPr>
          <w:sz w:val="24"/>
          <w:szCs w:val="24"/>
        </w:rPr>
      </w:pPr>
    </w:p>
    <w:p w:rsidR="00CB5301" w:rsidRDefault="00CB5301" w:rsidP="00326510">
      <w:pPr>
        <w:jc w:val="both"/>
        <w:rPr>
          <w:sz w:val="24"/>
          <w:szCs w:val="24"/>
        </w:rPr>
      </w:pPr>
      <w:r w:rsidRPr="00CB5301">
        <w:rPr>
          <w:sz w:val="24"/>
          <w:szCs w:val="24"/>
        </w:rPr>
        <w:t>Eesti tööturg on heas seisus. Keskmine palk jätkab tõusu kiires tempos. Palgakasv peaks järgmisel aastal siiski aeglustuma koos majanduse jahenemisega. Aeglustunud palgakasvu kompenseerib osaliselt hinnatõusu pidurdumine. Tööpuudus püsib madalal 5 protsendi juures.</w:t>
      </w:r>
    </w:p>
    <w:p w:rsidR="00CB5301" w:rsidRDefault="00CB5301" w:rsidP="00326510">
      <w:pPr>
        <w:jc w:val="both"/>
        <w:rPr>
          <w:sz w:val="24"/>
          <w:szCs w:val="24"/>
        </w:rPr>
      </w:pPr>
    </w:p>
    <w:tbl>
      <w:tblPr>
        <w:tblW w:w="10140" w:type="dxa"/>
        <w:tblCellMar>
          <w:left w:w="70" w:type="dxa"/>
          <w:right w:w="70" w:type="dxa"/>
        </w:tblCellMar>
        <w:tblLook w:val="04A0" w:firstRow="1" w:lastRow="0" w:firstColumn="1" w:lastColumn="0" w:noHBand="0" w:noVBand="1"/>
      </w:tblPr>
      <w:tblGrid>
        <w:gridCol w:w="3138"/>
        <w:gridCol w:w="345"/>
        <w:gridCol w:w="911"/>
        <w:gridCol w:w="163"/>
        <w:gridCol w:w="163"/>
        <w:gridCol w:w="709"/>
        <w:gridCol w:w="258"/>
        <w:gridCol w:w="626"/>
        <w:gridCol w:w="289"/>
        <w:gridCol w:w="163"/>
        <w:gridCol w:w="165"/>
        <w:gridCol w:w="443"/>
        <w:gridCol w:w="485"/>
        <w:gridCol w:w="191"/>
        <w:gridCol w:w="263"/>
        <w:gridCol w:w="569"/>
        <w:gridCol w:w="286"/>
        <w:gridCol w:w="163"/>
        <w:gridCol w:w="201"/>
        <w:gridCol w:w="445"/>
        <w:gridCol w:w="164"/>
      </w:tblGrid>
      <w:tr w:rsidR="00CB5301" w:rsidRPr="00CB5301" w:rsidTr="000B20A4">
        <w:trPr>
          <w:trHeight w:val="263"/>
        </w:trPr>
        <w:tc>
          <w:tcPr>
            <w:tcW w:w="3483" w:type="dxa"/>
            <w:gridSpan w:val="2"/>
            <w:tcBorders>
              <w:top w:val="nil"/>
              <w:left w:val="nil"/>
              <w:bottom w:val="nil"/>
              <w:right w:val="nil"/>
            </w:tcBorders>
            <w:shd w:val="clear" w:color="auto" w:fill="auto"/>
            <w:noWrap/>
            <w:hideMark/>
          </w:tcPr>
          <w:p w:rsidR="00CB5301" w:rsidRPr="00CB5301" w:rsidRDefault="00CB5301" w:rsidP="00CB5301">
            <w:pPr>
              <w:widowControl/>
              <w:autoSpaceDE/>
              <w:autoSpaceDN/>
              <w:rPr>
                <w:rFonts w:ascii="Trebuchet MS" w:hAnsi="Trebuchet MS"/>
                <w:b/>
                <w:bCs/>
                <w:lang w:val="et-EE" w:eastAsia="et-EE"/>
              </w:rPr>
            </w:pPr>
            <w:r w:rsidRPr="00CB5301">
              <w:rPr>
                <w:rFonts w:ascii="Trebuchet MS" w:hAnsi="Trebuchet MS"/>
                <w:b/>
                <w:bCs/>
                <w:lang w:val="et-EE" w:eastAsia="et-EE"/>
              </w:rPr>
              <w:t>Tööturu prognoos 2019–2023</w:t>
            </w:r>
          </w:p>
        </w:tc>
        <w:tc>
          <w:tcPr>
            <w:tcW w:w="911" w:type="dxa"/>
            <w:tcBorders>
              <w:top w:val="nil"/>
              <w:left w:val="nil"/>
              <w:bottom w:val="nil"/>
              <w:right w:val="nil"/>
            </w:tcBorders>
            <w:shd w:val="clear" w:color="auto" w:fill="auto"/>
            <w:noWrap/>
            <w:hideMark/>
          </w:tcPr>
          <w:p w:rsidR="00CB5301" w:rsidRPr="00CB5301" w:rsidRDefault="00CB5301" w:rsidP="00CB5301">
            <w:pPr>
              <w:widowControl/>
              <w:autoSpaceDE/>
              <w:autoSpaceDN/>
              <w:rPr>
                <w:rFonts w:ascii="Trebuchet MS" w:hAnsi="Trebuchet MS"/>
                <w:b/>
                <w:bCs/>
                <w:lang w:val="et-EE" w:eastAsia="et-EE"/>
              </w:rPr>
            </w:pPr>
          </w:p>
        </w:tc>
        <w:tc>
          <w:tcPr>
            <w:tcW w:w="163"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163"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709"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257"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626"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289"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163"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163"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443"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485"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190"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263"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569"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285"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163"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201"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445"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c>
          <w:tcPr>
            <w:tcW w:w="163" w:type="dxa"/>
            <w:tcBorders>
              <w:top w:val="nil"/>
              <w:left w:val="nil"/>
              <w:bottom w:val="nil"/>
              <w:right w:val="nil"/>
            </w:tcBorders>
            <w:shd w:val="clear" w:color="auto" w:fill="auto"/>
            <w:noWrap/>
            <w:hideMark/>
          </w:tcPr>
          <w:p w:rsidR="00CB5301" w:rsidRPr="00CB5301" w:rsidRDefault="00CB5301" w:rsidP="00CB5301">
            <w:pPr>
              <w:widowControl/>
              <w:autoSpaceDE/>
              <w:autoSpaceDN/>
              <w:rPr>
                <w:sz w:val="20"/>
                <w:szCs w:val="20"/>
                <w:lang w:val="et-EE" w:eastAsia="et-EE"/>
              </w:rPr>
            </w:pPr>
          </w:p>
        </w:tc>
      </w:tr>
      <w:tr w:rsidR="00CB5301" w:rsidRPr="00CB5301" w:rsidTr="000B20A4">
        <w:trPr>
          <w:trHeight w:val="235"/>
        </w:trPr>
        <w:tc>
          <w:tcPr>
            <w:tcW w:w="3138" w:type="dxa"/>
            <w:tcBorders>
              <w:top w:val="single" w:sz="4" w:space="0" w:color="000000"/>
              <w:left w:val="nil"/>
              <w:bottom w:val="single" w:sz="4" w:space="0" w:color="000000"/>
              <w:right w:val="nil"/>
            </w:tcBorders>
            <w:shd w:val="clear" w:color="auto" w:fill="auto"/>
            <w:vAlign w:val="bottom"/>
            <w:hideMark/>
          </w:tcPr>
          <w:p w:rsidR="00CB5301" w:rsidRPr="00CB5301" w:rsidRDefault="00CB5301" w:rsidP="00CB5301">
            <w:pPr>
              <w:widowControl/>
              <w:autoSpaceDE/>
              <w:autoSpaceDN/>
              <w:rPr>
                <w:color w:val="000000"/>
                <w:sz w:val="20"/>
                <w:szCs w:val="20"/>
                <w:lang w:val="et-EE" w:eastAsia="et-EE"/>
              </w:rPr>
            </w:pPr>
            <w:r w:rsidRPr="00CB5301">
              <w:rPr>
                <w:color w:val="000000"/>
                <w:sz w:val="20"/>
                <w:szCs w:val="20"/>
                <w:lang w:val="et-EE" w:eastAsia="et-EE"/>
              </w:rPr>
              <w:t> </w:t>
            </w:r>
          </w:p>
        </w:tc>
        <w:tc>
          <w:tcPr>
            <w:tcW w:w="1419" w:type="dxa"/>
            <w:gridSpan w:val="3"/>
            <w:tcBorders>
              <w:top w:val="single" w:sz="4" w:space="0" w:color="000000"/>
              <w:left w:val="nil"/>
              <w:bottom w:val="single" w:sz="4" w:space="0" w:color="000000"/>
              <w:right w:val="nil"/>
            </w:tcBorders>
            <w:shd w:val="clear" w:color="auto" w:fill="auto"/>
            <w:noWrap/>
            <w:hideMark/>
          </w:tcPr>
          <w:p w:rsidR="00CB5301" w:rsidRPr="00CB5301" w:rsidRDefault="00CB5301" w:rsidP="00CB5301">
            <w:pPr>
              <w:widowControl/>
              <w:autoSpaceDE/>
              <w:autoSpaceDN/>
              <w:ind w:firstLineChars="200" w:firstLine="4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2018</w:t>
            </w:r>
          </w:p>
        </w:tc>
        <w:tc>
          <w:tcPr>
            <w:tcW w:w="1130" w:type="dxa"/>
            <w:gridSpan w:val="3"/>
            <w:tcBorders>
              <w:top w:val="single" w:sz="4" w:space="0" w:color="000000"/>
              <w:left w:val="nil"/>
              <w:bottom w:val="single" w:sz="4" w:space="0" w:color="000000"/>
              <w:right w:val="nil"/>
            </w:tcBorders>
            <w:shd w:val="clear" w:color="auto" w:fill="auto"/>
            <w:noWrap/>
            <w:hideMark/>
          </w:tcPr>
          <w:p w:rsidR="00CB5301" w:rsidRPr="00CB5301" w:rsidRDefault="00CB5301" w:rsidP="00CB5301">
            <w:pPr>
              <w:widowControl/>
              <w:autoSpaceDE/>
              <w:autoSpaceDN/>
              <w:ind w:firstLineChars="200" w:firstLine="4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2019</w:t>
            </w:r>
          </w:p>
        </w:tc>
        <w:tc>
          <w:tcPr>
            <w:tcW w:w="1243" w:type="dxa"/>
            <w:gridSpan w:val="4"/>
            <w:tcBorders>
              <w:top w:val="single" w:sz="4" w:space="0" w:color="000000"/>
              <w:left w:val="nil"/>
              <w:bottom w:val="single" w:sz="4" w:space="0" w:color="000000"/>
              <w:right w:val="nil"/>
            </w:tcBorders>
            <w:shd w:val="clear" w:color="auto" w:fill="auto"/>
            <w:noWrap/>
            <w:hideMark/>
          </w:tcPr>
          <w:p w:rsidR="00CB5301" w:rsidRPr="00CB5301" w:rsidRDefault="00CB5301" w:rsidP="00CB5301">
            <w:pPr>
              <w:widowControl/>
              <w:autoSpaceDE/>
              <w:autoSpaceDN/>
              <w:ind w:firstLineChars="200" w:firstLine="4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2020</w:t>
            </w:r>
          </w:p>
        </w:tc>
        <w:tc>
          <w:tcPr>
            <w:tcW w:w="1119" w:type="dxa"/>
            <w:gridSpan w:val="3"/>
            <w:tcBorders>
              <w:top w:val="single" w:sz="4" w:space="0" w:color="000000"/>
              <w:left w:val="nil"/>
              <w:bottom w:val="single" w:sz="4" w:space="0" w:color="000000"/>
              <w:right w:val="nil"/>
            </w:tcBorders>
            <w:shd w:val="clear" w:color="auto" w:fill="auto"/>
            <w:noWrap/>
            <w:hideMark/>
          </w:tcPr>
          <w:p w:rsidR="00CB5301" w:rsidRPr="00CB5301" w:rsidRDefault="00CB5301" w:rsidP="00CB5301">
            <w:pPr>
              <w:widowControl/>
              <w:autoSpaceDE/>
              <w:autoSpaceDN/>
              <w:ind w:firstLineChars="200" w:firstLine="4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2021</w:t>
            </w:r>
          </w:p>
        </w:tc>
        <w:tc>
          <w:tcPr>
            <w:tcW w:w="1118" w:type="dxa"/>
            <w:gridSpan w:val="3"/>
            <w:tcBorders>
              <w:top w:val="single" w:sz="4" w:space="0" w:color="000000"/>
              <w:left w:val="nil"/>
              <w:bottom w:val="single" w:sz="4" w:space="0" w:color="000000"/>
              <w:right w:val="nil"/>
            </w:tcBorders>
            <w:shd w:val="clear" w:color="auto" w:fill="auto"/>
            <w:noWrap/>
            <w:hideMark/>
          </w:tcPr>
          <w:p w:rsidR="00CB5301" w:rsidRPr="00CB5301" w:rsidRDefault="00CB5301" w:rsidP="00CB5301">
            <w:pPr>
              <w:widowControl/>
              <w:autoSpaceDE/>
              <w:autoSpaceDN/>
              <w:ind w:firstLineChars="200" w:firstLine="4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2022</w:t>
            </w:r>
          </w:p>
        </w:tc>
        <w:tc>
          <w:tcPr>
            <w:tcW w:w="973" w:type="dxa"/>
            <w:gridSpan w:val="4"/>
            <w:tcBorders>
              <w:top w:val="single" w:sz="4" w:space="0" w:color="000000"/>
              <w:left w:val="nil"/>
              <w:bottom w:val="single" w:sz="4" w:space="0" w:color="000000"/>
              <w:right w:val="nil"/>
            </w:tcBorders>
            <w:shd w:val="clear" w:color="auto" w:fill="auto"/>
            <w:noWrap/>
            <w:hideMark/>
          </w:tcPr>
          <w:p w:rsidR="00CB5301" w:rsidRPr="00CB5301" w:rsidRDefault="00CB5301" w:rsidP="00CB5301">
            <w:pPr>
              <w:widowControl/>
              <w:autoSpaceDE/>
              <w:autoSpaceDN/>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2023</w:t>
            </w:r>
          </w:p>
        </w:tc>
      </w:tr>
      <w:tr w:rsidR="00CB5301" w:rsidRPr="00CB5301" w:rsidTr="000B20A4">
        <w:trPr>
          <w:trHeight w:val="235"/>
        </w:trPr>
        <w:tc>
          <w:tcPr>
            <w:tcW w:w="3138" w:type="dxa"/>
            <w:tcBorders>
              <w:top w:val="single" w:sz="4" w:space="0" w:color="000000"/>
              <w:left w:val="nil"/>
              <w:bottom w:val="nil"/>
              <w:right w:val="nil"/>
            </w:tcBorders>
            <w:shd w:val="clear" w:color="000000" w:fill="FAE3D4"/>
            <w:hideMark/>
          </w:tcPr>
          <w:p w:rsidR="00CB5301" w:rsidRPr="00CB5301" w:rsidRDefault="00CB5301" w:rsidP="00CB5301">
            <w:pPr>
              <w:widowControl/>
              <w:autoSpaceDE/>
              <w:autoSpaceDN/>
              <w:rPr>
                <w:rFonts w:ascii="Trebuchet MS" w:hAnsi="Trebuchet MS"/>
                <w:b/>
                <w:bCs/>
                <w:sz w:val="20"/>
                <w:szCs w:val="20"/>
                <w:lang w:val="et-EE" w:eastAsia="et-EE"/>
              </w:rPr>
            </w:pPr>
            <w:r w:rsidRPr="00CB5301">
              <w:rPr>
                <w:rFonts w:ascii="Trebuchet MS" w:hAnsi="Trebuchet MS"/>
                <w:b/>
                <w:bCs/>
                <w:sz w:val="20"/>
                <w:szCs w:val="20"/>
                <w:lang w:val="et-EE" w:eastAsia="et-EE"/>
              </w:rPr>
              <w:t>Keskmise palga reaalkasv, %</w:t>
            </w:r>
          </w:p>
        </w:tc>
        <w:tc>
          <w:tcPr>
            <w:tcW w:w="1419" w:type="dxa"/>
            <w:gridSpan w:val="3"/>
            <w:tcBorders>
              <w:top w:val="single" w:sz="4" w:space="0" w:color="000000"/>
              <w:left w:val="nil"/>
              <w:bottom w:val="nil"/>
              <w:right w:val="nil"/>
            </w:tcBorders>
            <w:shd w:val="clear" w:color="000000" w:fill="FAE3D4"/>
            <w:noWrap/>
            <w:hideMark/>
          </w:tcPr>
          <w:p w:rsidR="00CB5301" w:rsidRPr="00CB5301" w:rsidRDefault="00CB5301" w:rsidP="00CB5301">
            <w:pPr>
              <w:widowControl/>
              <w:autoSpaceDE/>
              <w:autoSpaceDN/>
              <w:ind w:firstLineChars="200" w:firstLine="4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4,0</w:t>
            </w:r>
          </w:p>
        </w:tc>
        <w:tc>
          <w:tcPr>
            <w:tcW w:w="1130" w:type="dxa"/>
            <w:gridSpan w:val="3"/>
            <w:tcBorders>
              <w:top w:val="single" w:sz="4" w:space="0" w:color="000000"/>
              <w:left w:val="nil"/>
              <w:bottom w:val="nil"/>
              <w:right w:val="nil"/>
            </w:tcBorders>
            <w:shd w:val="clear" w:color="000000" w:fill="FAE3D4"/>
            <w:noWrap/>
            <w:hideMark/>
          </w:tcPr>
          <w:p w:rsidR="00CB5301" w:rsidRPr="00CB5301" w:rsidRDefault="00CB5301" w:rsidP="00CB5301">
            <w:pPr>
              <w:widowControl/>
              <w:autoSpaceDE/>
              <w:autoSpaceDN/>
              <w:ind w:firstLineChars="200" w:firstLine="4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4,8</w:t>
            </w:r>
          </w:p>
        </w:tc>
        <w:tc>
          <w:tcPr>
            <w:tcW w:w="1243" w:type="dxa"/>
            <w:gridSpan w:val="4"/>
            <w:tcBorders>
              <w:top w:val="single" w:sz="4" w:space="0" w:color="000000"/>
              <w:left w:val="nil"/>
              <w:bottom w:val="nil"/>
              <w:right w:val="nil"/>
            </w:tcBorders>
            <w:shd w:val="clear" w:color="000000" w:fill="FAE3D4"/>
            <w:noWrap/>
            <w:hideMark/>
          </w:tcPr>
          <w:p w:rsidR="00CB5301" w:rsidRPr="00CB5301" w:rsidRDefault="00CB5301" w:rsidP="00CB5301">
            <w:pPr>
              <w:widowControl/>
              <w:autoSpaceDE/>
              <w:autoSpaceDN/>
              <w:ind w:firstLineChars="200" w:firstLine="4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3,4</w:t>
            </w:r>
          </w:p>
        </w:tc>
        <w:tc>
          <w:tcPr>
            <w:tcW w:w="1119" w:type="dxa"/>
            <w:gridSpan w:val="3"/>
            <w:tcBorders>
              <w:top w:val="single" w:sz="4" w:space="0" w:color="000000"/>
              <w:left w:val="nil"/>
              <w:bottom w:val="nil"/>
              <w:right w:val="nil"/>
            </w:tcBorders>
            <w:shd w:val="clear" w:color="000000" w:fill="FAE3D4"/>
            <w:noWrap/>
            <w:hideMark/>
          </w:tcPr>
          <w:p w:rsidR="00CB5301" w:rsidRPr="00CB5301" w:rsidRDefault="00CB5301" w:rsidP="00CB5301">
            <w:pPr>
              <w:widowControl/>
              <w:autoSpaceDE/>
              <w:autoSpaceDN/>
              <w:ind w:firstLineChars="200" w:firstLine="4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2,9</w:t>
            </w:r>
          </w:p>
        </w:tc>
        <w:tc>
          <w:tcPr>
            <w:tcW w:w="1118" w:type="dxa"/>
            <w:gridSpan w:val="3"/>
            <w:tcBorders>
              <w:top w:val="single" w:sz="4" w:space="0" w:color="000000"/>
              <w:left w:val="nil"/>
              <w:bottom w:val="nil"/>
              <w:right w:val="nil"/>
            </w:tcBorders>
            <w:shd w:val="clear" w:color="000000" w:fill="FAE3D4"/>
            <w:noWrap/>
            <w:hideMark/>
          </w:tcPr>
          <w:p w:rsidR="00CB5301" w:rsidRPr="00CB5301" w:rsidRDefault="00CB5301" w:rsidP="00CB5301">
            <w:pPr>
              <w:widowControl/>
              <w:autoSpaceDE/>
              <w:autoSpaceDN/>
              <w:ind w:firstLineChars="200" w:firstLine="4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2,9</w:t>
            </w:r>
          </w:p>
        </w:tc>
        <w:tc>
          <w:tcPr>
            <w:tcW w:w="973" w:type="dxa"/>
            <w:gridSpan w:val="4"/>
            <w:tcBorders>
              <w:top w:val="single" w:sz="4" w:space="0" w:color="000000"/>
              <w:left w:val="nil"/>
              <w:bottom w:val="nil"/>
              <w:right w:val="nil"/>
            </w:tcBorders>
            <w:shd w:val="clear" w:color="000000" w:fill="FAE3D4"/>
            <w:noWrap/>
            <w:hideMark/>
          </w:tcPr>
          <w:p w:rsidR="00CB5301" w:rsidRPr="00CB5301" w:rsidRDefault="00CB5301" w:rsidP="00CB5301">
            <w:pPr>
              <w:widowControl/>
              <w:autoSpaceDE/>
              <w:autoSpaceDN/>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2,8</w:t>
            </w:r>
          </w:p>
        </w:tc>
      </w:tr>
      <w:tr w:rsidR="00CB5301" w:rsidRPr="00CB5301" w:rsidTr="000B20A4">
        <w:trPr>
          <w:trHeight w:val="235"/>
        </w:trPr>
        <w:tc>
          <w:tcPr>
            <w:tcW w:w="3138" w:type="dxa"/>
            <w:tcBorders>
              <w:top w:val="nil"/>
              <w:left w:val="nil"/>
              <w:bottom w:val="single" w:sz="4" w:space="0" w:color="000000"/>
              <w:right w:val="nil"/>
            </w:tcBorders>
            <w:shd w:val="clear" w:color="auto" w:fill="auto"/>
            <w:hideMark/>
          </w:tcPr>
          <w:p w:rsidR="00CB5301" w:rsidRPr="00CB5301" w:rsidRDefault="00CB5301" w:rsidP="00CB5301">
            <w:pPr>
              <w:widowControl/>
              <w:autoSpaceDE/>
              <w:autoSpaceDN/>
              <w:rPr>
                <w:rFonts w:ascii="Trebuchet MS" w:hAnsi="Trebuchet MS"/>
                <w:b/>
                <w:bCs/>
                <w:sz w:val="20"/>
                <w:szCs w:val="20"/>
                <w:lang w:val="et-EE" w:eastAsia="et-EE"/>
              </w:rPr>
            </w:pPr>
            <w:r w:rsidRPr="00CB5301">
              <w:rPr>
                <w:rFonts w:ascii="Trebuchet MS" w:hAnsi="Trebuchet MS"/>
                <w:b/>
                <w:bCs/>
                <w:sz w:val="20"/>
                <w:szCs w:val="20"/>
                <w:lang w:val="et-EE" w:eastAsia="et-EE"/>
              </w:rPr>
              <w:t>Keskmine palk, eurot</w:t>
            </w:r>
          </w:p>
        </w:tc>
        <w:tc>
          <w:tcPr>
            <w:tcW w:w="1419" w:type="dxa"/>
            <w:gridSpan w:val="3"/>
            <w:tcBorders>
              <w:top w:val="nil"/>
              <w:left w:val="nil"/>
              <w:bottom w:val="single" w:sz="4" w:space="0" w:color="000000"/>
              <w:right w:val="nil"/>
            </w:tcBorders>
            <w:shd w:val="clear" w:color="auto" w:fill="auto"/>
            <w:noWrap/>
            <w:hideMark/>
          </w:tcPr>
          <w:p w:rsidR="00CB5301" w:rsidRPr="00CB5301" w:rsidRDefault="00CB5301" w:rsidP="00CB5301">
            <w:pPr>
              <w:widowControl/>
              <w:autoSpaceDE/>
              <w:autoSpaceDN/>
              <w:ind w:firstLineChars="200" w:firstLine="4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1310</w:t>
            </w:r>
          </w:p>
        </w:tc>
        <w:tc>
          <w:tcPr>
            <w:tcW w:w="1130" w:type="dxa"/>
            <w:gridSpan w:val="3"/>
            <w:tcBorders>
              <w:top w:val="nil"/>
              <w:left w:val="nil"/>
              <w:bottom w:val="single" w:sz="4" w:space="0" w:color="000000"/>
              <w:right w:val="nil"/>
            </w:tcBorders>
            <w:shd w:val="clear" w:color="auto" w:fill="auto"/>
            <w:noWrap/>
            <w:hideMark/>
          </w:tcPr>
          <w:p w:rsidR="00CB5301" w:rsidRPr="00CB5301" w:rsidRDefault="00CB5301" w:rsidP="00CB5301">
            <w:pPr>
              <w:widowControl/>
              <w:autoSpaceDE/>
              <w:autoSpaceDN/>
              <w:ind w:firstLineChars="200" w:firstLine="4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1404</w:t>
            </w:r>
          </w:p>
        </w:tc>
        <w:tc>
          <w:tcPr>
            <w:tcW w:w="1243" w:type="dxa"/>
            <w:gridSpan w:val="4"/>
            <w:tcBorders>
              <w:top w:val="nil"/>
              <w:left w:val="nil"/>
              <w:bottom w:val="single" w:sz="4" w:space="0" w:color="000000"/>
              <w:right w:val="nil"/>
            </w:tcBorders>
            <w:shd w:val="clear" w:color="auto" w:fill="auto"/>
            <w:noWrap/>
            <w:hideMark/>
          </w:tcPr>
          <w:p w:rsidR="00CB5301" w:rsidRPr="00CB5301" w:rsidRDefault="00CB5301" w:rsidP="00CB5301">
            <w:pPr>
              <w:widowControl/>
              <w:autoSpaceDE/>
              <w:autoSpaceDN/>
              <w:ind w:firstLineChars="200" w:firstLine="4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1484</w:t>
            </w:r>
          </w:p>
        </w:tc>
        <w:tc>
          <w:tcPr>
            <w:tcW w:w="1119" w:type="dxa"/>
            <w:gridSpan w:val="3"/>
            <w:tcBorders>
              <w:top w:val="nil"/>
              <w:left w:val="nil"/>
              <w:bottom w:val="single" w:sz="4" w:space="0" w:color="000000"/>
              <w:right w:val="nil"/>
            </w:tcBorders>
            <w:shd w:val="clear" w:color="auto" w:fill="auto"/>
            <w:noWrap/>
            <w:hideMark/>
          </w:tcPr>
          <w:p w:rsidR="00CB5301" w:rsidRPr="00CB5301" w:rsidRDefault="00CB5301" w:rsidP="00CB5301">
            <w:pPr>
              <w:widowControl/>
              <w:autoSpaceDE/>
              <w:autoSpaceDN/>
              <w:ind w:firstLineChars="200" w:firstLine="4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1560</w:t>
            </w:r>
          </w:p>
        </w:tc>
        <w:tc>
          <w:tcPr>
            <w:tcW w:w="1118" w:type="dxa"/>
            <w:gridSpan w:val="3"/>
            <w:tcBorders>
              <w:top w:val="nil"/>
              <w:left w:val="nil"/>
              <w:bottom w:val="single" w:sz="4" w:space="0" w:color="000000"/>
              <w:right w:val="nil"/>
            </w:tcBorders>
            <w:shd w:val="clear" w:color="auto" w:fill="auto"/>
            <w:noWrap/>
            <w:hideMark/>
          </w:tcPr>
          <w:p w:rsidR="00CB5301" w:rsidRPr="00CB5301" w:rsidRDefault="00CB5301" w:rsidP="00CB5301">
            <w:pPr>
              <w:widowControl/>
              <w:autoSpaceDE/>
              <w:autoSpaceDN/>
              <w:ind w:firstLineChars="200" w:firstLine="400"/>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1638</w:t>
            </w:r>
          </w:p>
        </w:tc>
        <w:tc>
          <w:tcPr>
            <w:tcW w:w="973" w:type="dxa"/>
            <w:gridSpan w:val="4"/>
            <w:tcBorders>
              <w:top w:val="nil"/>
              <w:left w:val="nil"/>
              <w:bottom w:val="single" w:sz="4" w:space="0" w:color="000000"/>
              <w:right w:val="nil"/>
            </w:tcBorders>
            <w:shd w:val="clear" w:color="auto" w:fill="auto"/>
            <w:noWrap/>
            <w:hideMark/>
          </w:tcPr>
          <w:p w:rsidR="00CB5301" w:rsidRPr="00CB5301" w:rsidRDefault="00CB5301" w:rsidP="00CB5301">
            <w:pPr>
              <w:widowControl/>
              <w:autoSpaceDE/>
              <w:autoSpaceDN/>
              <w:jc w:val="right"/>
              <w:rPr>
                <w:rFonts w:ascii="Trebuchet MS" w:hAnsi="Trebuchet MS"/>
                <w:color w:val="000000"/>
                <w:sz w:val="20"/>
                <w:szCs w:val="20"/>
                <w:lang w:val="et-EE" w:eastAsia="et-EE"/>
              </w:rPr>
            </w:pPr>
            <w:r w:rsidRPr="00CB5301">
              <w:rPr>
                <w:rFonts w:ascii="Trebuchet MS" w:hAnsi="Trebuchet MS"/>
                <w:color w:val="000000"/>
                <w:sz w:val="20"/>
                <w:szCs w:val="20"/>
                <w:lang w:val="et-EE" w:eastAsia="et-EE"/>
              </w:rPr>
              <w:t>1719</w:t>
            </w:r>
          </w:p>
        </w:tc>
      </w:tr>
    </w:tbl>
    <w:p w:rsidR="000B20A4" w:rsidRDefault="000B20A4" w:rsidP="00326510">
      <w:pPr>
        <w:jc w:val="both"/>
        <w:rPr>
          <w:sz w:val="24"/>
          <w:szCs w:val="24"/>
        </w:rPr>
      </w:pPr>
    </w:p>
    <w:p w:rsidR="000B20A4" w:rsidRDefault="00CD5810" w:rsidP="00326510">
      <w:pPr>
        <w:jc w:val="both"/>
        <w:rPr>
          <w:sz w:val="24"/>
          <w:szCs w:val="24"/>
        </w:rPr>
      </w:pPr>
      <w:r w:rsidRPr="00CD5810">
        <w:rPr>
          <w:sz w:val="24"/>
          <w:szCs w:val="24"/>
        </w:rPr>
        <w:t>Oodata on hindade mõõdukat tõusu, mis ei ületa majanduse seisukohalt tervislikku taset. Hinnatõusu põhjustab eelkõige toidu ja teenuste kallinemine. Maailmamajanduse aeglustumine hoiab väliskeskkonnast tulevaid hinnatõuse tagasi. Selle mõjul on nafta hind langenud, tuues kaasa mootorikütuse mõninga odavnemise</w:t>
      </w:r>
      <w:r>
        <w:rPr>
          <w:sz w:val="24"/>
          <w:szCs w:val="24"/>
        </w:rPr>
        <w:t>.</w:t>
      </w:r>
    </w:p>
    <w:tbl>
      <w:tblPr>
        <w:tblpPr w:leftFromText="141" w:rightFromText="141" w:vertAnchor="text" w:horzAnchor="margin" w:tblpY="56"/>
        <w:tblW w:w="10132" w:type="dxa"/>
        <w:tblCellMar>
          <w:left w:w="70" w:type="dxa"/>
          <w:right w:w="70" w:type="dxa"/>
        </w:tblCellMar>
        <w:tblLook w:val="04A0" w:firstRow="1" w:lastRow="0" w:firstColumn="1" w:lastColumn="0" w:noHBand="0" w:noVBand="1"/>
      </w:tblPr>
      <w:tblGrid>
        <w:gridCol w:w="2626"/>
        <w:gridCol w:w="976"/>
        <w:gridCol w:w="1327"/>
        <w:gridCol w:w="162"/>
        <w:gridCol w:w="207"/>
        <w:gridCol w:w="623"/>
        <w:gridCol w:w="226"/>
        <w:gridCol w:w="529"/>
        <w:gridCol w:w="243"/>
        <w:gridCol w:w="163"/>
        <w:gridCol w:w="162"/>
        <w:gridCol w:w="395"/>
        <w:gridCol w:w="434"/>
        <w:gridCol w:w="169"/>
        <w:gridCol w:w="226"/>
        <w:gridCol w:w="492"/>
        <w:gridCol w:w="243"/>
        <w:gridCol w:w="162"/>
        <w:gridCol w:w="188"/>
        <w:gridCol w:w="415"/>
        <w:gridCol w:w="164"/>
      </w:tblGrid>
      <w:tr w:rsidR="003802A4" w:rsidRPr="00CD5810" w:rsidTr="003802A4">
        <w:trPr>
          <w:trHeight w:val="296"/>
        </w:trPr>
        <w:tc>
          <w:tcPr>
            <w:tcW w:w="3602" w:type="dxa"/>
            <w:gridSpan w:val="2"/>
            <w:tcBorders>
              <w:top w:val="nil"/>
              <w:left w:val="nil"/>
              <w:bottom w:val="nil"/>
              <w:right w:val="nil"/>
            </w:tcBorders>
            <w:shd w:val="clear" w:color="auto" w:fill="auto"/>
            <w:noWrap/>
            <w:hideMark/>
          </w:tcPr>
          <w:p w:rsidR="003802A4" w:rsidRPr="00CD5810" w:rsidRDefault="003802A4" w:rsidP="003802A4">
            <w:pPr>
              <w:widowControl/>
              <w:autoSpaceDE/>
              <w:autoSpaceDN/>
              <w:rPr>
                <w:rFonts w:ascii="Trebuchet MS" w:hAnsi="Trebuchet MS"/>
                <w:b/>
                <w:bCs/>
                <w:lang w:val="et-EE" w:eastAsia="et-EE"/>
              </w:rPr>
            </w:pPr>
            <w:r w:rsidRPr="00CD5810">
              <w:rPr>
                <w:rFonts w:ascii="Trebuchet MS" w:hAnsi="Trebuchet MS"/>
                <w:b/>
                <w:bCs/>
                <w:lang w:val="et-EE" w:eastAsia="et-EE"/>
              </w:rPr>
              <w:lastRenderedPageBreak/>
              <w:t>Hindade prognoos 2019–2023</w:t>
            </w:r>
          </w:p>
        </w:tc>
        <w:tc>
          <w:tcPr>
            <w:tcW w:w="1327" w:type="dxa"/>
            <w:tcBorders>
              <w:top w:val="nil"/>
              <w:left w:val="nil"/>
              <w:bottom w:val="nil"/>
              <w:right w:val="nil"/>
            </w:tcBorders>
            <w:shd w:val="clear" w:color="auto" w:fill="auto"/>
            <w:noWrap/>
            <w:hideMark/>
          </w:tcPr>
          <w:p w:rsidR="003802A4" w:rsidRPr="00CD5810" w:rsidRDefault="003802A4" w:rsidP="003802A4">
            <w:pPr>
              <w:widowControl/>
              <w:autoSpaceDE/>
              <w:autoSpaceDN/>
              <w:rPr>
                <w:rFonts w:ascii="Trebuchet MS" w:hAnsi="Trebuchet MS"/>
                <w:b/>
                <w:bCs/>
                <w:lang w:val="et-EE" w:eastAsia="et-EE"/>
              </w:rPr>
            </w:pPr>
          </w:p>
        </w:tc>
        <w:tc>
          <w:tcPr>
            <w:tcW w:w="162" w:type="dxa"/>
            <w:tcBorders>
              <w:top w:val="nil"/>
              <w:left w:val="nil"/>
              <w:bottom w:val="nil"/>
              <w:right w:val="nil"/>
            </w:tcBorders>
            <w:shd w:val="clear" w:color="auto" w:fill="auto"/>
            <w:noWrap/>
            <w:hideMark/>
          </w:tcPr>
          <w:p w:rsidR="003802A4" w:rsidRPr="00CD5810" w:rsidRDefault="003802A4" w:rsidP="003802A4">
            <w:pPr>
              <w:widowControl/>
              <w:autoSpaceDE/>
              <w:autoSpaceDN/>
              <w:rPr>
                <w:sz w:val="20"/>
                <w:szCs w:val="20"/>
                <w:lang w:val="et-EE" w:eastAsia="et-EE"/>
              </w:rPr>
            </w:pPr>
          </w:p>
        </w:tc>
        <w:tc>
          <w:tcPr>
            <w:tcW w:w="207" w:type="dxa"/>
            <w:tcBorders>
              <w:top w:val="nil"/>
              <w:left w:val="nil"/>
              <w:bottom w:val="nil"/>
              <w:right w:val="nil"/>
            </w:tcBorders>
            <w:shd w:val="clear" w:color="auto" w:fill="auto"/>
            <w:noWrap/>
            <w:hideMark/>
          </w:tcPr>
          <w:p w:rsidR="003802A4" w:rsidRPr="00CD5810" w:rsidRDefault="003802A4" w:rsidP="003802A4">
            <w:pPr>
              <w:widowControl/>
              <w:autoSpaceDE/>
              <w:autoSpaceDN/>
              <w:rPr>
                <w:sz w:val="20"/>
                <w:szCs w:val="20"/>
                <w:lang w:val="et-EE" w:eastAsia="et-EE"/>
              </w:rPr>
            </w:pPr>
          </w:p>
        </w:tc>
        <w:tc>
          <w:tcPr>
            <w:tcW w:w="623" w:type="dxa"/>
            <w:tcBorders>
              <w:top w:val="nil"/>
              <w:left w:val="nil"/>
              <w:bottom w:val="nil"/>
              <w:right w:val="nil"/>
            </w:tcBorders>
            <w:shd w:val="clear" w:color="auto" w:fill="auto"/>
            <w:noWrap/>
            <w:hideMark/>
          </w:tcPr>
          <w:p w:rsidR="003802A4" w:rsidRPr="00CD5810" w:rsidRDefault="003802A4" w:rsidP="003802A4">
            <w:pPr>
              <w:widowControl/>
              <w:autoSpaceDE/>
              <w:autoSpaceDN/>
              <w:rPr>
                <w:sz w:val="20"/>
                <w:szCs w:val="20"/>
                <w:lang w:val="et-EE" w:eastAsia="et-EE"/>
              </w:rPr>
            </w:pPr>
          </w:p>
        </w:tc>
        <w:tc>
          <w:tcPr>
            <w:tcW w:w="226" w:type="dxa"/>
            <w:tcBorders>
              <w:top w:val="nil"/>
              <w:left w:val="nil"/>
              <w:bottom w:val="nil"/>
              <w:right w:val="nil"/>
            </w:tcBorders>
            <w:shd w:val="clear" w:color="auto" w:fill="auto"/>
            <w:noWrap/>
            <w:hideMark/>
          </w:tcPr>
          <w:p w:rsidR="003802A4" w:rsidRPr="00CD5810" w:rsidRDefault="003802A4" w:rsidP="003802A4">
            <w:pPr>
              <w:widowControl/>
              <w:autoSpaceDE/>
              <w:autoSpaceDN/>
              <w:rPr>
                <w:sz w:val="20"/>
                <w:szCs w:val="20"/>
                <w:lang w:val="et-EE" w:eastAsia="et-EE"/>
              </w:rPr>
            </w:pPr>
          </w:p>
        </w:tc>
        <w:tc>
          <w:tcPr>
            <w:tcW w:w="529" w:type="dxa"/>
            <w:tcBorders>
              <w:top w:val="nil"/>
              <w:left w:val="nil"/>
              <w:bottom w:val="nil"/>
              <w:right w:val="nil"/>
            </w:tcBorders>
            <w:shd w:val="clear" w:color="auto" w:fill="auto"/>
            <w:noWrap/>
            <w:hideMark/>
          </w:tcPr>
          <w:p w:rsidR="003802A4" w:rsidRPr="00CD5810" w:rsidRDefault="003802A4" w:rsidP="003802A4">
            <w:pPr>
              <w:widowControl/>
              <w:autoSpaceDE/>
              <w:autoSpaceDN/>
              <w:rPr>
                <w:sz w:val="20"/>
                <w:szCs w:val="20"/>
                <w:lang w:val="et-EE" w:eastAsia="et-EE"/>
              </w:rPr>
            </w:pPr>
          </w:p>
        </w:tc>
        <w:tc>
          <w:tcPr>
            <w:tcW w:w="243" w:type="dxa"/>
            <w:tcBorders>
              <w:top w:val="nil"/>
              <w:left w:val="nil"/>
              <w:bottom w:val="nil"/>
              <w:right w:val="nil"/>
            </w:tcBorders>
            <w:shd w:val="clear" w:color="auto" w:fill="auto"/>
            <w:noWrap/>
            <w:hideMark/>
          </w:tcPr>
          <w:p w:rsidR="003802A4" w:rsidRPr="00CD5810" w:rsidRDefault="003802A4" w:rsidP="003802A4">
            <w:pPr>
              <w:widowControl/>
              <w:autoSpaceDE/>
              <w:autoSpaceDN/>
              <w:rPr>
                <w:sz w:val="20"/>
                <w:szCs w:val="20"/>
                <w:lang w:val="et-EE" w:eastAsia="et-EE"/>
              </w:rPr>
            </w:pPr>
          </w:p>
        </w:tc>
        <w:tc>
          <w:tcPr>
            <w:tcW w:w="163" w:type="dxa"/>
            <w:tcBorders>
              <w:top w:val="nil"/>
              <w:left w:val="nil"/>
              <w:bottom w:val="nil"/>
              <w:right w:val="nil"/>
            </w:tcBorders>
            <w:shd w:val="clear" w:color="auto" w:fill="auto"/>
            <w:noWrap/>
            <w:hideMark/>
          </w:tcPr>
          <w:p w:rsidR="003802A4" w:rsidRPr="00CD5810" w:rsidRDefault="003802A4" w:rsidP="003802A4">
            <w:pPr>
              <w:widowControl/>
              <w:autoSpaceDE/>
              <w:autoSpaceDN/>
              <w:rPr>
                <w:sz w:val="20"/>
                <w:szCs w:val="20"/>
                <w:lang w:val="et-EE" w:eastAsia="et-EE"/>
              </w:rPr>
            </w:pPr>
          </w:p>
        </w:tc>
        <w:tc>
          <w:tcPr>
            <w:tcW w:w="162" w:type="dxa"/>
            <w:tcBorders>
              <w:top w:val="nil"/>
              <w:left w:val="nil"/>
              <w:bottom w:val="nil"/>
              <w:right w:val="nil"/>
            </w:tcBorders>
            <w:shd w:val="clear" w:color="auto" w:fill="auto"/>
            <w:noWrap/>
            <w:hideMark/>
          </w:tcPr>
          <w:p w:rsidR="003802A4" w:rsidRPr="00CD5810" w:rsidRDefault="003802A4" w:rsidP="003802A4">
            <w:pPr>
              <w:widowControl/>
              <w:autoSpaceDE/>
              <w:autoSpaceDN/>
              <w:rPr>
                <w:sz w:val="20"/>
                <w:szCs w:val="20"/>
                <w:lang w:val="et-EE" w:eastAsia="et-EE"/>
              </w:rPr>
            </w:pPr>
          </w:p>
        </w:tc>
        <w:tc>
          <w:tcPr>
            <w:tcW w:w="395" w:type="dxa"/>
            <w:tcBorders>
              <w:top w:val="nil"/>
              <w:left w:val="nil"/>
              <w:bottom w:val="nil"/>
              <w:right w:val="nil"/>
            </w:tcBorders>
            <w:shd w:val="clear" w:color="auto" w:fill="auto"/>
            <w:noWrap/>
            <w:hideMark/>
          </w:tcPr>
          <w:p w:rsidR="003802A4" w:rsidRPr="00CD5810" w:rsidRDefault="003802A4" w:rsidP="003802A4">
            <w:pPr>
              <w:widowControl/>
              <w:autoSpaceDE/>
              <w:autoSpaceDN/>
              <w:rPr>
                <w:sz w:val="20"/>
                <w:szCs w:val="20"/>
                <w:lang w:val="et-EE" w:eastAsia="et-EE"/>
              </w:rPr>
            </w:pPr>
          </w:p>
        </w:tc>
        <w:tc>
          <w:tcPr>
            <w:tcW w:w="434" w:type="dxa"/>
            <w:tcBorders>
              <w:top w:val="nil"/>
              <w:left w:val="nil"/>
              <w:bottom w:val="nil"/>
              <w:right w:val="nil"/>
            </w:tcBorders>
            <w:shd w:val="clear" w:color="auto" w:fill="auto"/>
            <w:noWrap/>
            <w:hideMark/>
          </w:tcPr>
          <w:p w:rsidR="003802A4" w:rsidRPr="00CD5810" w:rsidRDefault="003802A4" w:rsidP="003802A4">
            <w:pPr>
              <w:widowControl/>
              <w:autoSpaceDE/>
              <w:autoSpaceDN/>
              <w:rPr>
                <w:sz w:val="20"/>
                <w:szCs w:val="20"/>
                <w:lang w:val="et-EE" w:eastAsia="et-EE"/>
              </w:rPr>
            </w:pPr>
          </w:p>
        </w:tc>
        <w:tc>
          <w:tcPr>
            <w:tcW w:w="169" w:type="dxa"/>
            <w:tcBorders>
              <w:top w:val="nil"/>
              <w:left w:val="nil"/>
              <w:bottom w:val="nil"/>
              <w:right w:val="nil"/>
            </w:tcBorders>
            <w:shd w:val="clear" w:color="auto" w:fill="auto"/>
            <w:noWrap/>
            <w:hideMark/>
          </w:tcPr>
          <w:p w:rsidR="003802A4" w:rsidRPr="00CD5810" w:rsidRDefault="003802A4" w:rsidP="003802A4">
            <w:pPr>
              <w:widowControl/>
              <w:autoSpaceDE/>
              <w:autoSpaceDN/>
              <w:rPr>
                <w:sz w:val="20"/>
                <w:szCs w:val="20"/>
                <w:lang w:val="et-EE" w:eastAsia="et-EE"/>
              </w:rPr>
            </w:pPr>
          </w:p>
        </w:tc>
        <w:tc>
          <w:tcPr>
            <w:tcW w:w="226" w:type="dxa"/>
            <w:tcBorders>
              <w:top w:val="nil"/>
              <w:left w:val="nil"/>
              <w:bottom w:val="nil"/>
              <w:right w:val="nil"/>
            </w:tcBorders>
            <w:shd w:val="clear" w:color="auto" w:fill="auto"/>
            <w:noWrap/>
            <w:hideMark/>
          </w:tcPr>
          <w:p w:rsidR="003802A4" w:rsidRPr="00CD5810" w:rsidRDefault="003802A4" w:rsidP="003802A4">
            <w:pPr>
              <w:widowControl/>
              <w:autoSpaceDE/>
              <w:autoSpaceDN/>
              <w:rPr>
                <w:sz w:val="20"/>
                <w:szCs w:val="20"/>
                <w:lang w:val="et-EE" w:eastAsia="et-EE"/>
              </w:rPr>
            </w:pPr>
          </w:p>
        </w:tc>
        <w:tc>
          <w:tcPr>
            <w:tcW w:w="492" w:type="dxa"/>
            <w:tcBorders>
              <w:top w:val="nil"/>
              <w:left w:val="nil"/>
              <w:bottom w:val="nil"/>
              <w:right w:val="nil"/>
            </w:tcBorders>
            <w:shd w:val="clear" w:color="auto" w:fill="auto"/>
            <w:noWrap/>
            <w:hideMark/>
          </w:tcPr>
          <w:p w:rsidR="003802A4" w:rsidRPr="00CD5810" w:rsidRDefault="003802A4" w:rsidP="003802A4">
            <w:pPr>
              <w:widowControl/>
              <w:autoSpaceDE/>
              <w:autoSpaceDN/>
              <w:rPr>
                <w:sz w:val="20"/>
                <w:szCs w:val="20"/>
                <w:lang w:val="et-EE" w:eastAsia="et-EE"/>
              </w:rPr>
            </w:pPr>
          </w:p>
        </w:tc>
        <w:tc>
          <w:tcPr>
            <w:tcW w:w="243" w:type="dxa"/>
            <w:tcBorders>
              <w:top w:val="nil"/>
              <w:left w:val="nil"/>
              <w:bottom w:val="nil"/>
              <w:right w:val="nil"/>
            </w:tcBorders>
            <w:shd w:val="clear" w:color="auto" w:fill="auto"/>
            <w:noWrap/>
            <w:hideMark/>
          </w:tcPr>
          <w:p w:rsidR="003802A4" w:rsidRPr="00CD5810" w:rsidRDefault="003802A4" w:rsidP="003802A4">
            <w:pPr>
              <w:widowControl/>
              <w:autoSpaceDE/>
              <w:autoSpaceDN/>
              <w:rPr>
                <w:sz w:val="20"/>
                <w:szCs w:val="20"/>
                <w:lang w:val="et-EE" w:eastAsia="et-EE"/>
              </w:rPr>
            </w:pPr>
          </w:p>
        </w:tc>
        <w:tc>
          <w:tcPr>
            <w:tcW w:w="162" w:type="dxa"/>
            <w:tcBorders>
              <w:top w:val="nil"/>
              <w:left w:val="nil"/>
              <w:bottom w:val="nil"/>
              <w:right w:val="nil"/>
            </w:tcBorders>
            <w:shd w:val="clear" w:color="auto" w:fill="auto"/>
            <w:noWrap/>
            <w:hideMark/>
          </w:tcPr>
          <w:p w:rsidR="003802A4" w:rsidRPr="00CD5810" w:rsidRDefault="003802A4" w:rsidP="003802A4">
            <w:pPr>
              <w:widowControl/>
              <w:autoSpaceDE/>
              <w:autoSpaceDN/>
              <w:rPr>
                <w:sz w:val="20"/>
                <w:szCs w:val="20"/>
                <w:lang w:val="et-EE" w:eastAsia="et-EE"/>
              </w:rPr>
            </w:pPr>
          </w:p>
        </w:tc>
        <w:tc>
          <w:tcPr>
            <w:tcW w:w="188" w:type="dxa"/>
            <w:tcBorders>
              <w:top w:val="nil"/>
              <w:left w:val="nil"/>
              <w:bottom w:val="nil"/>
              <w:right w:val="nil"/>
            </w:tcBorders>
            <w:shd w:val="clear" w:color="auto" w:fill="auto"/>
            <w:noWrap/>
            <w:hideMark/>
          </w:tcPr>
          <w:p w:rsidR="003802A4" w:rsidRPr="00CD5810" w:rsidRDefault="003802A4" w:rsidP="003802A4">
            <w:pPr>
              <w:widowControl/>
              <w:autoSpaceDE/>
              <w:autoSpaceDN/>
              <w:rPr>
                <w:sz w:val="20"/>
                <w:szCs w:val="20"/>
                <w:lang w:val="et-EE" w:eastAsia="et-EE"/>
              </w:rPr>
            </w:pPr>
          </w:p>
        </w:tc>
        <w:tc>
          <w:tcPr>
            <w:tcW w:w="415" w:type="dxa"/>
            <w:tcBorders>
              <w:top w:val="nil"/>
              <w:left w:val="nil"/>
              <w:bottom w:val="nil"/>
              <w:right w:val="nil"/>
            </w:tcBorders>
            <w:shd w:val="clear" w:color="auto" w:fill="auto"/>
            <w:noWrap/>
            <w:hideMark/>
          </w:tcPr>
          <w:p w:rsidR="003802A4" w:rsidRPr="00CD5810" w:rsidRDefault="003802A4" w:rsidP="003802A4">
            <w:pPr>
              <w:widowControl/>
              <w:autoSpaceDE/>
              <w:autoSpaceDN/>
              <w:rPr>
                <w:sz w:val="20"/>
                <w:szCs w:val="20"/>
                <w:lang w:val="et-EE" w:eastAsia="et-EE"/>
              </w:rPr>
            </w:pPr>
          </w:p>
        </w:tc>
        <w:tc>
          <w:tcPr>
            <w:tcW w:w="164" w:type="dxa"/>
            <w:tcBorders>
              <w:top w:val="nil"/>
              <w:left w:val="nil"/>
              <w:bottom w:val="nil"/>
              <w:right w:val="nil"/>
            </w:tcBorders>
            <w:shd w:val="clear" w:color="auto" w:fill="auto"/>
            <w:noWrap/>
            <w:hideMark/>
          </w:tcPr>
          <w:p w:rsidR="003802A4" w:rsidRPr="00CD5810" w:rsidRDefault="003802A4" w:rsidP="003802A4">
            <w:pPr>
              <w:widowControl/>
              <w:autoSpaceDE/>
              <w:autoSpaceDN/>
              <w:rPr>
                <w:sz w:val="20"/>
                <w:szCs w:val="20"/>
                <w:lang w:val="et-EE" w:eastAsia="et-EE"/>
              </w:rPr>
            </w:pPr>
          </w:p>
        </w:tc>
      </w:tr>
      <w:tr w:rsidR="003802A4" w:rsidRPr="00CD5810" w:rsidTr="003802A4">
        <w:trPr>
          <w:trHeight w:val="264"/>
        </w:trPr>
        <w:tc>
          <w:tcPr>
            <w:tcW w:w="2626" w:type="dxa"/>
            <w:tcBorders>
              <w:top w:val="single" w:sz="4" w:space="0" w:color="000000"/>
              <w:left w:val="nil"/>
              <w:bottom w:val="single" w:sz="4" w:space="0" w:color="000000"/>
              <w:right w:val="nil"/>
            </w:tcBorders>
            <w:shd w:val="clear" w:color="auto" w:fill="auto"/>
            <w:hideMark/>
          </w:tcPr>
          <w:p w:rsidR="003802A4" w:rsidRPr="00CD5810" w:rsidRDefault="003802A4" w:rsidP="003802A4">
            <w:pPr>
              <w:widowControl/>
              <w:autoSpaceDE/>
              <w:autoSpaceDN/>
              <w:rPr>
                <w:rFonts w:ascii="Trebuchet MS" w:hAnsi="Trebuchet MS"/>
                <w:sz w:val="20"/>
                <w:szCs w:val="20"/>
                <w:lang w:val="et-EE" w:eastAsia="et-EE"/>
              </w:rPr>
            </w:pPr>
            <w:r w:rsidRPr="00CD5810">
              <w:rPr>
                <w:rFonts w:ascii="Trebuchet MS" w:hAnsi="Trebuchet MS"/>
                <w:sz w:val="20"/>
                <w:szCs w:val="20"/>
                <w:lang w:val="et-EE" w:eastAsia="et-EE"/>
              </w:rPr>
              <w:t>muutus, %</w:t>
            </w:r>
          </w:p>
        </w:tc>
        <w:tc>
          <w:tcPr>
            <w:tcW w:w="2672" w:type="dxa"/>
            <w:gridSpan w:val="4"/>
            <w:tcBorders>
              <w:top w:val="single" w:sz="4" w:space="0" w:color="000000"/>
              <w:left w:val="nil"/>
              <w:bottom w:val="single" w:sz="4" w:space="0" w:color="000000"/>
              <w:right w:val="nil"/>
            </w:tcBorders>
            <w:shd w:val="clear" w:color="auto" w:fill="auto"/>
            <w:noWrap/>
            <w:hideMark/>
          </w:tcPr>
          <w:p w:rsidR="003802A4" w:rsidRPr="00CD5810" w:rsidRDefault="003802A4" w:rsidP="003802A4">
            <w:pPr>
              <w:widowControl/>
              <w:autoSpaceDE/>
              <w:autoSpaceDN/>
              <w:ind w:firstLineChars="700" w:firstLine="1400"/>
              <w:rPr>
                <w:rFonts w:ascii="Trebuchet MS" w:hAnsi="Trebuchet MS"/>
                <w:color w:val="000000"/>
                <w:sz w:val="20"/>
                <w:szCs w:val="20"/>
                <w:lang w:val="et-EE" w:eastAsia="et-EE"/>
              </w:rPr>
            </w:pPr>
            <w:r w:rsidRPr="00CD5810">
              <w:rPr>
                <w:rFonts w:ascii="Trebuchet MS" w:hAnsi="Trebuchet MS"/>
                <w:color w:val="000000"/>
                <w:sz w:val="20"/>
                <w:szCs w:val="20"/>
                <w:lang w:val="et-EE" w:eastAsia="et-EE"/>
              </w:rPr>
              <w:t>2018</w:t>
            </w:r>
          </w:p>
        </w:tc>
        <w:tc>
          <w:tcPr>
            <w:tcW w:w="849" w:type="dxa"/>
            <w:gridSpan w:val="2"/>
            <w:tcBorders>
              <w:top w:val="single" w:sz="4" w:space="0" w:color="000000"/>
              <w:left w:val="nil"/>
              <w:bottom w:val="single" w:sz="4" w:space="0" w:color="000000"/>
              <w:right w:val="nil"/>
            </w:tcBorders>
            <w:shd w:val="clear" w:color="auto" w:fill="auto"/>
            <w:noWrap/>
            <w:hideMark/>
          </w:tcPr>
          <w:p w:rsidR="003802A4" w:rsidRPr="00CD5810" w:rsidRDefault="003802A4" w:rsidP="003802A4">
            <w:pPr>
              <w:widowControl/>
              <w:autoSpaceDE/>
              <w:autoSpaceDN/>
              <w:ind w:firstLineChars="100" w:firstLine="200"/>
              <w:rPr>
                <w:rFonts w:ascii="Trebuchet MS" w:hAnsi="Trebuchet MS"/>
                <w:color w:val="000000"/>
                <w:sz w:val="20"/>
                <w:szCs w:val="20"/>
                <w:lang w:val="et-EE" w:eastAsia="et-EE"/>
              </w:rPr>
            </w:pPr>
            <w:r w:rsidRPr="00CD5810">
              <w:rPr>
                <w:rFonts w:ascii="Trebuchet MS" w:hAnsi="Trebuchet MS"/>
                <w:color w:val="000000"/>
                <w:sz w:val="20"/>
                <w:szCs w:val="20"/>
                <w:lang w:val="et-EE" w:eastAsia="et-EE"/>
              </w:rPr>
              <w:t>2019</w:t>
            </w:r>
          </w:p>
        </w:tc>
        <w:tc>
          <w:tcPr>
            <w:tcW w:w="935" w:type="dxa"/>
            <w:gridSpan w:val="3"/>
            <w:tcBorders>
              <w:top w:val="single" w:sz="4" w:space="0" w:color="000000"/>
              <w:left w:val="nil"/>
              <w:bottom w:val="single" w:sz="4" w:space="0" w:color="000000"/>
              <w:right w:val="nil"/>
            </w:tcBorders>
            <w:shd w:val="clear" w:color="auto" w:fill="auto"/>
            <w:noWrap/>
            <w:hideMark/>
          </w:tcPr>
          <w:p w:rsidR="003802A4" w:rsidRPr="00CD5810" w:rsidRDefault="003802A4" w:rsidP="003802A4">
            <w:pPr>
              <w:widowControl/>
              <w:autoSpaceDE/>
              <w:autoSpaceDN/>
              <w:ind w:firstLineChars="100" w:firstLine="200"/>
              <w:rPr>
                <w:rFonts w:ascii="Trebuchet MS" w:hAnsi="Trebuchet MS"/>
                <w:color w:val="000000"/>
                <w:sz w:val="20"/>
                <w:szCs w:val="20"/>
                <w:lang w:val="et-EE" w:eastAsia="et-EE"/>
              </w:rPr>
            </w:pPr>
            <w:r w:rsidRPr="00CD5810">
              <w:rPr>
                <w:rFonts w:ascii="Trebuchet MS" w:hAnsi="Trebuchet MS"/>
                <w:color w:val="000000"/>
                <w:sz w:val="20"/>
                <w:szCs w:val="20"/>
                <w:lang w:val="et-EE" w:eastAsia="et-EE"/>
              </w:rPr>
              <w:t>2020</w:t>
            </w:r>
          </w:p>
        </w:tc>
        <w:tc>
          <w:tcPr>
            <w:tcW w:w="991" w:type="dxa"/>
            <w:gridSpan w:val="3"/>
            <w:tcBorders>
              <w:top w:val="single" w:sz="4" w:space="0" w:color="000000"/>
              <w:left w:val="nil"/>
              <w:bottom w:val="single" w:sz="4" w:space="0" w:color="000000"/>
              <w:right w:val="nil"/>
            </w:tcBorders>
            <w:shd w:val="clear" w:color="auto" w:fill="auto"/>
            <w:noWrap/>
            <w:hideMark/>
          </w:tcPr>
          <w:p w:rsidR="003802A4" w:rsidRPr="00CD5810" w:rsidRDefault="003802A4" w:rsidP="003802A4">
            <w:pPr>
              <w:widowControl/>
              <w:autoSpaceDE/>
              <w:autoSpaceDN/>
              <w:ind w:firstLineChars="100" w:firstLine="200"/>
              <w:rPr>
                <w:rFonts w:ascii="Trebuchet MS" w:hAnsi="Trebuchet MS"/>
                <w:color w:val="000000"/>
                <w:sz w:val="20"/>
                <w:szCs w:val="20"/>
                <w:lang w:val="et-EE" w:eastAsia="et-EE"/>
              </w:rPr>
            </w:pPr>
            <w:r w:rsidRPr="00CD5810">
              <w:rPr>
                <w:rFonts w:ascii="Trebuchet MS" w:hAnsi="Trebuchet MS"/>
                <w:color w:val="000000"/>
                <w:sz w:val="20"/>
                <w:szCs w:val="20"/>
                <w:lang w:val="et-EE" w:eastAsia="et-EE"/>
              </w:rPr>
              <w:t>2021</w:t>
            </w:r>
          </w:p>
        </w:tc>
        <w:tc>
          <w:tcPr>
            <w:tcW w:w="887" w:type="dxa"/>
            <w:gridSpan w:val="3"/>
            <w:tcBorders>
              <w:top w:val="single" w:sz="4" w:space="0" w:color="000000"/>
              <w:left w:val="nil"/>
              <w:bottom w:val="single" w:sz="4" w:space="0" w:color="000000"/>
              <w:right w:val="nil"/>
            </w:tcBorders>
            <w:shd w:val="clear" w:color="auto" w:fill="auto"/>
            <w:noWrap/>
            <w:hideMark/>
          </w:tcPr>
          <w:p w:rsidR="003802A4" w:rsidRPr="00CD5810" w:rsidRDefault="003802A4" w:rsidP="003802A4">
            <w:pPr>
              <w:widowControl/>
              <w:autoSpaceDE/>
              <w:autoSpaceDN/>
              <w:ind w:firstLineChars="100" w:firstLine="200"/>
              <w:rPr>
                <w:rFonts w:ascii="Trebuchet MS" w:hAnsi="Trebuchet MS"/>
                <w:color w:val="000000"/>
                <w:sz w:val="20"/>
                <w:szCs w:val="20"/>
                <w:lang w:val="et-EE" w:eastAsia="et-EE"/>
              </w:rPr>
            </w:pPr>
            <w:r w:rsidRPr="00CD5810">
              <w:rPr>
                <w:rFonts w:ascii="Trebuchet MS" w:hAnsi="Trebuchet MS"/>
                <w:color w:val="000000"/>
                <w:sz w:val="20"/>
                <w:szCs w:val="20"/>
                <w:lang w:val="et-EE" w:eastAsia="et-EE"/>
              </w:rPr>
              <w:t>2022</w:t>
            </w:r>
          </w:p>
        </w:tc>
        <w:tc>
          <w:tcPr>
            <w:tcW w:w="1172" w:type="dxa"/>
            <w:gridSpan w:val="5"/>
            <w:tcBorders>
              <w:top w:val="single" w:sz="4" w:space="0" w:color="000000"/>
              <w:left w:val="nil"/>
              <w:bottom w:val="single" w:sz="4" w:space="0" w:color="000000"/>
              <w:right w:val="nil"/>
            </w:tcBorders>
            <w:shd w:val="clear" w:color="auto" w:fill="auto"/>
            <w:noWrap/>
            <w:hideMark/>
          </w:tcPr>
          <w:p w:rsidR="003802A4" w:rsidRPr="00CD5810" w:rsidRDefault="003802A4" w:rsidP="003802A4">
            <w:pPr>
              <w:widowControl/>
              <w:autoSpaceDE/>
              <w:autoSpaceDN/>
              <w:ind w:firstLineChars="100" w:firstLine="200"/>
              <w:rPr>
                <w:rFonts w:ascii="Trebuchet MS" w:hAnsi="Trebuchet MS"/>
                <w:color w:val="000000"/>
                <w:sz w:val="20"/>
                <w:szCs w:val="20"/>
                <w:lang w:val="et-EE" w:eastAsia="et-EE"/>
              </w:rPr>
            </w:pPr>
            <w:r w:rsidRPr="00CD5810">
              <w:rPr>
                <w:rFonts w:ascii="Trebuchet MS" w:hAnsi="Trebuchet MS"/>
                <w:color w:val="000000"/>
                <w:sz w:val="20"/>
                <w:szCs w:val="20"/>
                <w:lang w:val="et-EE" w:eastAsia="et-EE"/>
              </w:rPr>
              <w:t>2023</w:t>
            </w:r>
          </w:p>
        </w:tc>
      </w:tr>
      <w:tr w:rsidR="003802A4" w:rsidRPr="00CD5810" w:rsidTr="003802A4">
        <w:trPr>
          <w:trHeight w:val="264"/>
        </w:trPr>
        <w:tc>
          <w:tcPr>
            <w:tcW w:w="2626" w:type="dxa"/>
            <w:tcBorders>
              <w:top w:val="nil"/>
              <w:left w:val="nil"/>
              <w:bottom w:val="single" w:sz="4" w:space="0" w:color="000000"/>
              <w:right w:val="nil"/>
            </w:tcBorders>
            <w:shd w:val="clear" w:color="000000" w:fill="FAE3D4"/>
            <w:hideMark/>
          </w:tcPr>
          <w:p w:rsidR="003802A4" w:rsidRPr="00CD5810" w:rsidRDefault="003802A4" w:rsidP="003802A4">
            <w:pPr>
              <w:widowControl/>
              <w:autoSpaceDE/>
              <w:autoSpaceDN/>
              <w:rPr>
                <w:rFonts w:ascii="Trebuchet MS" w:hAnsi="Trebuchet MS"/>
                <w:b/>
                <w:bCs/>
                <w:sz w:val="20"/>
                <w:szCs w:val="20"/>
                <w:lang w:val="et-EE" w:eastAsia="et-EE"/>
              </w:rPr>
            </w:pPr>
            <w:r w:rsidRPr="00CD5810">
              <w:rPr>
                <w:rFonts w:ascii="Trebuchet MS" w:hAnsi="Trebuchet MS"/>
                <w:b/>
                <w:bCs/>
                <w:sz w:val="20"/>
                <w:szCs w:val="20"/>
                <w:lang w:val="et-EE" w:eastAsia="et-EE"/>
              </w:rPr>
              <w:t>Tarbijahinnaindeks</w:t>
            </w:r>
          </w:p>
        </w:tc>
        <w:tc>
          <w:tcPr>
            <w:tcW w:w="2672" w:type="dxa"/>
            <w:gridSpan w:val="4"/>
            <w:tcBorders>
              <w:top w:val="single" w:sz="4" w:space="0" w:color="000000"/>
              <w:left w:val="nil"/>
              <w:bottom w:val="single" w:sz="4" w:space="0" w:color="000000"/>
              <w:right w:val="nil"/>
            </w:tcBorders>
            <w:shd w:val="clear" w:color="000000" w:fill="FAE3D4"/>
            <w:noWrap/>
            <w:hideMark/>
          </w:tcPr>
          <w:p w:rsidR="003802A4" w:rsidRPr="00CD5810" w:rsidRDefault="003802A4" w:rsidP="003802A4">
            <w:pPr>
              <w:widowControl/>
              <w:autoSpaceDE/>
              <w:autoSpaceDN/>
              <w:ind w:firstLineChars="700" w:firstLine="1400"/>
              <w:rPr>
                <w:rFonts w:ascii="Trebuchet MS" w:hAnsi="Trebuchet MS"/>
                <w:color w:val="000000"/>
                <w:sz w:val="20"/>
                <w:szCs w:val="20"/>
                <w:lang w:val="et-EE" w:eastAsia="et-EE"/>
              </w:rPr>
            </w:pPr>
            <w:r w:rsidRPr="00CD5810">
              <w:rPr>
                <w:rFonts w:ascii="Trebuchet MS" w:hAnsi="Trebuchet MS"/>
                <w:color w:val="000000"/>
                <w:sz w:val="20"/>
                <w:szCs w:val="20"/>
                <w:lang w:val="et-EE" w:eastAsia="et-EE"/>
              </w:rPr>
              <w:t>3,4</w:t>
            </w:r>
          </w:p>
        </w:tc>
        <w:tc>
          <w:tcPr>
            <w:tcW w:w="849" w:type="dxa"/>
            <w:gridSpan w:val="2"/>
            <w:tcBorders>
              <w:top w:val="single" w:sz="4" w:space="0" w:color="000000"/>
              <w:left w:val="nil"/>
              <w:bottom w:val="single" w:sz="4" w:space="0" w:color="000000"/>
              <w:right w:val="nil"/>
            </w:tcBorders>
            <w:shd w:val="clear" w:color="000000" w:fill="FAE3D4"/>
            <w:noWrap/>
            <w:hideMark/>
          </w:tcPr>
          <w:p w:rsidR="003802A4" w:rsidRPr="00CD5810" w:rsidRDefault="003802A4" w:rsidP="003802A4">
            <w:pPr>
              <w:widowControl/>
              <w:autoSpaceDE/>
              <w:autoSpaceDN/>
              <w:ind w:firstLineChars="100" w:firstLine="200"/>
              <w:rPr>
                <w:rFonts w:ascii="Trebuchet MS" w:hAnsi="Trebuchet MS"/>
                <w:color w:val="000000"/>
                <w:sz w:val="20"/>
                <w:szCs w:val="20"/>
                <w:lang w:val="et-EE" w:eastAsia="et-EE"/>
              </w:rPr>
            </w:pPr>
            <w:r w:rsidRPr="00CD5810">
              <w:rPr>
                <w:rFonts w:ascii="Trebuchet MS" w:hAnsi="Trebuchet MS"/>
                <w:color w:val="000000"/>
                <w:sz w:val="20"/>
                <w:szCs w:val="20"/>
                <w:lang w:val="et-EE" w:eastAsia="et-EE"/>
              </w:rPr>
              <w:t>2,2</w:t>
            </w:r>
          </w:p>
        </w:tc>
        <w:tc>
          <w:tcPr>
            <w:tcW w:w="935" w:type="dxa"/>
            <w:gridSpan w:val="3"/>
            <w:tcBorders>
              <w:top w:val="single" w:sz="4" w:space="0" w:color="000000"/>
              <w:left w:val="nil"/>
              <w:bottom w:val="single" w:sz="4" w:space="0" w:color="000000"/>
              <w:right w:val="nil"/>
            </w:tcBorders>
            <w:shd w:val="clear" w:color="000000" w:fill="FAE3D4"/>
            <w:noWrap/>
            <w:hideMark/>
          </w:tcPr>
          <w:p w:rsidR="003802A4" w:rsidRPr="00CD5810" w:rsidRDefault="003802A4" w:rsidP="003802A4">
            <w:pPr>
              <w:widowControl/>
              <w:autoSpaceDE/>
              <w:autoSpaceDN/>
              <w:ind w:firstLineChars="100" w:firstLine="200"/>
              <w:rPr>
                <w:rFonts w:ascii="Trebuchet MS" w:hAnsi="Trebuchet MS"/>
                <w:color w:val="000000"/>
                <w:sz w:val="20"/>
                <w:szCs w:val="20"/>
                <w:lang w:val="et-EE" w:eastAsia="et-EE"/>
              </w:rPr>
            </w:pPr>
            <w:r w:rsidRPr="00CD5810">
              <w:rPr>
                <w:rFonts w:ascii="Trebuchet MS" w:hAnsi="Trebuchet MS"/>
                <w:color w:val="000000"/>
                <w:sz w:val="20"/>
                <w:szCs w:val="20"/>
                <w:lang w:val="et-EE" w:eastAsia="et-EE"/>
              </w:rPr>
              <w:t>2,2</w:t>
            </w:r>
          </w:p>
        </w:tc>
        <w:tc>
          <w:tcPr>
            <w:tcW w:w="991" w:type="dxa"/>
            <w:gridSpan w:val="3"/>
            <w:tcBorders>
              <w:top w:val="single" w:sz="4" w:space="0" w:color="000000"/>
              <w:left w:val="nil"/>
              <w:bottom w:val="single" w:sz="4" w:space="0" w:color="000000"/>
              <w:right w:val="nil"/>
            </w:tcBorders>
            <w:shd w:val="clear" w:color="000000" w:fill="FAE3D4"/>
            <w:noWrap/>
            <w:hideMark/>
          </w:tcPr>
          <w:p w:rsidR="003802A4" w:rsidRPr="00CD5810" w:rsidRDefault="003802A4" w:rsidP="003802A4">
            <w:pPr>
              <w:widowControl/>
              <w:autoSpaceDE/>
              <w:autoSpaceDN/>
              <w:ind w:firstLineChars="100" w:firstLine="200"/>
              <w:rPr>
                <w:rFonts w:ascii="Trebuchet MS" w:hAnsi="Trebuchet MS"/>
                <w:color w:val="000000"/>
                <w:sz w:val="20"/>
                <w:szCs w:val="20"/>
                <w:lang w:val="et-EE" w:eastAsia="et-EE"/>
              </w:rPr>
            </w:pPr>
            <w:r w:rsidRPr="00CD5810">
              <w:rPr>
                <w:rFonts w:ascii="Trebuchet MS" w:hAnsi="Trebuchet MS"/>
                <w:color w:val="000000"/>
                <w:sz w:val="20"/>
                <w:szCs w:val="20"/>
                <w:lang w:val="et-EE" w:eastAsia="et-EE"/>
              </w:rPr>
              <w:t>2,1</w:t>
            </w:r>
          </w:p>
        </w:tc>
        <w:tc>
          <w:tcPr>
            <w:tcW w:w="887" w:type="dxa"/>
            <w:gridSpan w:val="3"/>
            <w:tcBorders>
              <w:top w:val="single" w:sz="4" w:space="0" w:color="000000"/>
              <w:left w:val="nil"/>
              <w:bottom w:val="single" w:sz="4" w:space="0" w:color="000000"/>
              <w:right w:val="nil"/>
            </w:tcBorders>
            <w:shd w:val="clear" w:color="000000" w:fill="FAE3D4"/>
            <w:noWrap/>
            <w:hideMark/>
          </w:tcPr>
          <w:p w:rsidR="003802A4" w:rsidRPr="00CD5810" w:rsidRDefault="003802A4" w:rsidP="003802A4">
            <w:pPr>
              <w:widowControl/>
              <w:autoSpaceDE/>
              <w:autoSpaceDN/>
              <w:ind w:firstLineChars="100" w:firstLine="200"/>
              <w:rPr>
                <w:rFonts w:ascii="Trebuchet MS" w:hAnsi="Trebuchet MS"/>
                <w:color w:val="000000"/>
                <w:sz w:val="20"/>
                <w:szCs w:val="20"/>
                <w:lang w:val="et-EE" w:eastAsia="et-EE"/>
              </w:rPr>
            </w:pPr>
            <w:r w:rsidRPr="00CD5810">
              <w:rPr>
                <w:rFonts w:ascii="Trebuchet MS" w:hAnsi="Trebuchet MS"/>
                <w:color w:val="000000"/>
                <w:sz w:val="20"/>
                <w:szCs w:val="20"/>
                <w:lang w:val="et-EE" w:eastAsia="et-EE"/>
              </w:rPr>
              <w:t>2,1</w:t>
            </w:r>
          </w:p>
        </w:tc>
        <w:tc>
          <w:tcPr>
            <w:tcW w:w="1172" w:type="dxa"/>
            <w:gridSpan w:val="5"/>
            <w:tcBorders>
              <w:top w:val="single" w:sz="4" w:space="0" w:color="000000"/>
              <w:left w:val="nil"/>
              <w:bottom w:val="single" w:sz="4" w:space="0" w:color="000000"/>
              <w:right w:val="nil"/>
            </w:tcBorders>
            <w:shd w:val="clear" w:color="000000" w:fill="FAE3D4"/>
            <w:noWrap/>
            <w:hideMark/>
          </w:tcPr>
          <w:p w:rsidR="003802A4" w:rsidRPr="00CD5810" w:rsidRDefault="003802A4" w:rsidP="003802A4">
            <w:pPr>
              <w:widowControl/>
              <w:autoSpaceDE/>
              <w:autoSpaceDN/>
              <w:ind w:firstLineChars="100" w:firstLine="200"/>
              <w:rPr>
                <w:rFonts w:ascii="Trebuchet MS" w:hAnsi="Trebuchet MS"/>
                <w:color w:val="000000"/>
                <w:sz w:val="20"/>
                <w:szCs w:val="20"/>
                <w:lang w:val="et-EE" w:eastAsia="et-EE"/>
              </w:rPr>
            </w:pPr>
            <w:r w:rsidRPr="00CD5810">
              <w:rPr>
                <w:rFonts w:ascii="Trebuchet MS" w:hAnsi="Trebuchet MS"/>
                <w:color w:val="000000"/>
                <w:sz w:val="20"/>
                <w:szCs w:val="20"/>
                <w:lang w:val="et-EE" w:eastAsia="et-EE"/>
              </w:rPr>
              <w:t>2,0</w:t>
            </w:r>
          </w:p>
        </w:tc>
      </w:tr>
    </w:tbl>
    <w:p w:rsidR="003802A4" w:rsidRDefault="003802A4" w:rsidP="00326510">
      <w:pPr>
        <w:jc w:val="both"/>
        <w:rPr>
          <w:sz w:val="24"/>
          <w:szCs w:val="24"/>
        </w:rPr>
      </w:pPr>
    </w:p>
    <w:p w:rsidR="00CD5810" w:rsidRDefault="000B20A4" w:rsidP="00326510">
      <w:pPr>
        <w:jc w:val="both"/>
        <w:rPr>
          <w:sz w:val="24"/>
          <w:szCs w:val="24"/>
        </w:rPr>
      </w:pPr>
      <w:r w:rsidRPr="00CD5810">
        <w:rPr>
          <w:sz w:val="24"/>
          <w:szCs w:val="24"/>
        </w:rPr>
        <w:t>Maksukoormus on alaneva trendiga, kuna kiire palgakasv oodatavalt aeglustub ning aktsiisikaupade tarbimiskoguste tagasihoidlikust kasvust. Tööjõumaksud kasvavad siiski võrreldes tarbimismaksude ja kapitalimaksudega kõige kiiremini ja nende osatähtsus tõuseb 2023. aastaks 54 protsendile.</w:t>
      </w:r>
    </w:p>
    <w:p w:rsidR="000B20A4" w:rsidRDefault="000B20A4" w:rsidP="00326510">
      <w:pPr>
        <w:jc w:val="both"/>
        <w:rPr>
          <w:sz w:val="24"/>
          <w:szCs w:val="24"/>
        </w:rPr>
      </w:pPr>
    </w:p>
    <w:tbl>
      <w:tblPr>
        <w:tblpPr w:leftFromText="141" w:rightFromText="141" w:vertAnchor="page" w:horzAnchor="margin" w:tblpY="3751"/>
        <w:tblW w:w="10091" w:type="dxa"/>
        <w:tblCellMar>
          <w:left w:w="70" w:type="dxa"/>
          <w:right w:w="70" w:type="dxa"/>
        </w:tblCellMar>
        <w:tblLook w:val="04A0" w:firstRow="1" w:lastRow="0" w:firstColumn="1" w:lastColumn="0" w:noHBand="0" w:noVBand="1"/>
      </w:tblPr>
      <w:tblGrid>
        <w:gridCol w:w="1776"/>
        <w:gridCol w:w="1361"/>
        <w:gridCol w:w="994"/>
        <w:gridCol w:w="993"/>
        <w:gridCol w:w="993"/>
        <w:gridCol w:w="993"/>
        <w:gridCol w:w="993"/>
        <w:gridCol w:w="993"/>
        <w:gridCol w:w="995"/>
      </w:tblGrid>
      <w:tr w:rsidR="00954619" w:rsidRPr="00CD5810" w:rsidTr="00954619">
        <w:trPr>
          <w:trHeight w:val="269"/>
        </w:trPr>
        <w:tc>
          <w:tcPr>
            <w:tcW w:w="10091" w:type="dxa"/>
            <w:gridSpan w:val="9"/>
            <w:tcBorders>
              <w:top w:val="nil"/>
              <w:left w:val="nil"/>
              <w:bottom w:val="nil"/>
              <w:right w:val="nil"/>
            </w:tcBorders>
            <w:shd w:val="clear" w:color="auto" w:fill="auto"/>
            <w:noWrap/>
            <w:hideMark/>
          </w:tcPr>
          <w:p w:rsidR="00954619" w:rsidRPr="00CD5810" w:rsidRDefault="00954619" w:rsidP="00954619">
            <w:pPr>
              <w:widowControl/>
              <w:autoSpaceDE/>
              <w:autoSpaceDN/>
              <w:rPr>
                <w:rFonts w:ascii="Trebuchet MS" w:hAnsi="Trebuchet MS"/>
                <w:b/>
                <w:bCs/>
                <w:lang w:val="et-EE" w:eastAsia="et-EE"/>
              </w:rPr>
            </w:pPr>
            <w:r w:rsidRPr="00CD5810">
              <w:rPr>
                <w:rFonts w:ascii="Trebuchet MS" w:hAnsi="Trebuchet MS"/>
                <w:b/>
                <w:bCs/>
                <w:lang w:val="et-EE" w:eastAsia="et-EE"/>
              </w:rPr>
              <w:t>Maksukoormus aastatel 2016–2023</w:t>
            </w:r>
          </w:p>
        </w:tc>
      </w:tr>
      <w:tr w:rsidR="00954619" w:rsidRPr="00CD5810" w:rsidTr="00954619">
        <w:trPr>
          <w:trHeight w:val="278"/>
        </w:trPr>
        <w:tc>
          <w:tcPr>
            <w:tcW w:w="1776" w:type="dxa"/>
            <w:tcBorders>
              <w:top w:val="single" w:sz="4" w:space="0" w:color="000000"/>
              <w:left w:val="nil"/>
              <w:bottom w:val="single" w:sz="4" w:space="0" w:color="000000"/>
              <w:right w:val="nil"/>
            </w:tcBorders>
            <w:shd w:val="clear" w:color="auto" w:fill="auto"/>
            <w:hideMark/>
          </w:tcPr>
          <w:p w:rsidR="00954619" w:rsidRPr="00CD5810" w:rsidRDefault="00954619" w:rsidP="00954619">
            <w:pPr>
              <w:widowControl/>
              <w:autoSpaceDE/>
              <w:autoSpaceDN/>
              <w:rPr>
                <w:rFonts w:ascii="Trebuchet MS" w:hAnsi="Trebuchet MS"/>
                <w:sz w:val="20"/>
                <w:szCs w:val="20"/>
                <w:lang w:val="et-EE" w:eastAsia="et-EE"/>
              </w:rPr>
            </w:pPr>
            <w:r w:rsidRPr="00CD5810">
              <w:rPr>
                <w:rFonts w:ascii="Trebuchet MS" w:hAnsi="Trebuchet MS"/>
                <w:sz w:val="20"/>
                <w:szCs w:val="20"/>
                <w:lang w:val="et-EE" w:eastAsia="et-EE"/>
              </w:rPr>
              <w:t xml:space="preserve">% </w:t>
            </w:r>
            <w:proofErr w:type="spellStart"/>
            <w:r w:rsidRPr="00CD5810">
              <w:rPr>
                <w:rFonts w:ascii="Trebuchet MS" w:hAnsi="Trebuchet MS"/>
                <w:sz w:val="20"/>
                <w:szCs w:val="20"/>
                <w:lang w:val="et-EE" w:eastAsia="et-EE"/>
              </w:rPr>
              <w:t>SKPst</w:t>
            </w:r>
            <w:proofErr w:type="spellEnd"/>
          </w:p>
        </w:tc>
        <w:tc>
          <w:tcPr>
            <w:tcW w:w="1361" w:type="dxa"/>
            <w:tcBorders>
              <w:top w:val="single" w:sz="4" w:space="0" w:color="000000"/>
              <w:left w:val="nil"/>
              <w:bottom w:val="single" w:sz="4" w:space="0" w:color="000000"/>
              <w:right w:val="nil"/>
            </w:tcBorders>
            <w:shd w:val="clear" w:color="auto" w:fill="auto"/>
            <w:noWrap/>
            <w:hideMark/>
          </w:tcPr>
          <w:p w:rsidR="00954619" w:rsidRPr="00CD5810" w:rsidRDefault="00954619" w:rsidP="00954619">
            <w:pPr>
              <w:widowControl/>
              <w:autoSpaceDE/>
              <w:autoSpaceDN/>
              <w:rPr>
                <w:rFonts w:ascii="Trebuchet MS" w:hAnsi="Trebuchet MS"/>
                <w:color w:val="000000"/>
                <w:sz w:val="20"/>
                <w:szCs w:val="20"/>
                <w:lang w:val="et-EE" w:eastAsia="et-EE"/>
              </w:rPr>
            </w:pPr>
            <w:r w:rsidRPr="00CD5810">
              <w:rPr>
                <w:rFonts w:ascii="Trebuchet MS" w:hAnsi="Trebuchet MS"/>
                <w:color w:val="000000"/>
                <w:sz w:val="20"/>
                <w:szCs w:val="20"/>
                <w:lang w:val="et-EE" w:eastAsia="et-EE"/>
              </w:rPr>
              <w:t>2016</w:t>
            </w:r>
          </w:p>
        </w:tc>
        <w:tc>
          <w:tcPr>
            <w:tcW w:w="994" w:type="dxa"/>
            <w:tcBorders>
              <w:top w:val="single" w:sz="4" w:space="0" w:color="000000"/>
              <w:left w:val="nil"/>
              <w:bottom w:val="single" w:sz="4" w:space="0" w:color="000000"/>
              <w:right w:val="nil"/>
            </w:tcBorders>
            <w:shd w:val="clear" w:color="auto" w:fill="auto"/>
            <w:noWrap/>
            <w:hideMark/>
          </w:tcPr>
          <w:p w:rsidR="00954619" w:rsidRPr="00CD5810" w:rsidRDefault="00954619" w:rsidP="00954619">
            <w:pPr>
              <w:widowControl/>
              <w:autoSpaceDE/>
              <w:autoSpaceDN/>
              <w:rPr>
                <w:rFonts w:ascii="Trebuchet MS" w:hAnsi="Trebuchet MS"/>
                <w:color w:val="000000"/>
                <w:sz w:val="20"/>
                <w:szCs w:val="20"/>
                <w:lang w:val="et-EE" w:eastAsia="et-EE"/>
              </w:rPr>
            </w:pPr>
            <w:r w:rsidRPr="00CD5810">
              <w:rPr>
                <w:rFonts w:ascii="Trebuchet MS" w:hAnsi="Trebuchet MS"/>
                <w:color w:val="000000"/>
                <w:sz w:val="20"/>
                <w:szCs w:val="20"/>
                <w:lang w:val="et-EE" w:eastAsia="et-EE"/>
              </w:rPr>
              <w:t>2017</w:t>
            </w:r>
          </w:p>
        </w:tc>
        <w:tc>
          <w:tcPr>
            <w:tcW w:w="993" w:type="dxa"/>
            <w:tcBorders>
              <w:top w:val="single" w:sz="4" w:space="0" w:color="000000"/>
              <w:left w:val="nil"/>
              <w:bottom w:val="single" w:sz="4" w:space="0" w:color="000000"/>
              <w:right w:val="nil"/>
            </w:tcBorders>
            <w:shd w:val="clear" w:color="auto" w:fill="auto"/>
            <w:noWrap/>
            <w:hideMark/>
          </w:tcPr>
          <w:p w:rsidR="00954619" w:rsidRPr="00CD5810" w:rsidRDefault="00954619" w:rsidP="00954619">
            <w:pPr>
              <w:widowControl/>
              <w:autoSpaceDE/>
              <w:autoSpaceDN/>
              <w:rPr>
                <w:rFonts w:ascii="Trebuchet MS" w:hAnsi="Trebuchet MS"/>
                <w:color w:val="000000"/>
                <w:sz w:val="20"/>
                <w:szCs w:val="20"/>
                <w:lang w:val="et-EE" w:eastAsia="et-EE"/>
              </w:rPr>
            </w:pPr>
            <w:r w:rsidRPr="00CD5810">
              <w:rPr>
                <w:rFonts w:ascii="Trebuchet MS" w:hAnsi="Trebuchet MS"/>
                <w:color w:val="000000"/>
                <w:sz w:val="20"/>
                <w:szCs w:val="20"/>
                <w:lang w:val="et-EE" w:eastAsia="et-EE"/>
              </w:rPr>
              <w:t>2018</w:t>
            </w:r>
          </w:p>
        </w:tc>
        <w:tc>
          <w:tcPr>
            <w:tcW w:w="993" w:type="dxa"/>
            <w:tcBorders>
              <w:top w:val="single" w:sz="4" w:space="0" w:color="000000"/>
              <w:left w:val="nil"/>
              <w:bottom w:val="single" w:sz="4" w:space="0" w:color="000000"/>
              <w:right w:val="nil"/>
            </w:tcBorders>
            <w:shd w:val="clear" w:color="auto" w:fill="auto"/>
            <w:noWrap/>
            <w:hideMark/>
          </w:tcPr>
          <w:p w:rsidR="00954619" w:rsidRPr="00CD5810" w:rsidRDefault="00954619" w:rsidP="00954619">
            <w:pPr>
              <w:widowControl/>
              <w:autoSpaceDE/>
              <w:autoSpaceDN/>
              <w:rPr>
                <w:rFonts w:ascii="Trebuchet MS" w:hAnsi="Trebuchet MS"/>
                <w:color w:val="000000"/>
                <w:sz w:val="20"/>
                <w:szCs w:val="20"/>
                <w:lang w:val="et-EE" w:eastAsia="et-EE"/>
              </w:rPr>
            </w:pPr>
            <w:r w:rsidRPr="00CD5810">
              <w:rPr>
                <w:rFonts w:ascii="Trebuchet MS" w:hAnsi="Trebuchet MS"/>
                <w:color w:val="000000"/>
                <w:sz w:val="20"/>
                <w:szCs w:val="20"/>
                <w:lang w:val="et-EE" w:eastAsia="et-EE"/>
              </w:rPr>
              <w:t>2019</w:t>
            </w:r>
          </w:p>
        </w:tc>
        <w:tc>
          <w:tcPr>
            <w:tcW w:w="993" w:type="dxa"/>
            <w:tcBorders>
              <w:top w:val="single" w:sz="4" w:space="0" w:color="000000"/>
              <w:left w:val="nil"/>
              <w:bottom w:val="single" w:sz="4" w:space="0" w:color="000000"/>
              <w:right w:val="nil"/>
            </w:tcBorders>
            <w:shd w:val="clear" w:color="auto" w:fill="auto"/>
            <w:noWrap/>
            <w:hideMark/>
          </w:tcPr>
          <w:p w:rsidR="00954619" w:rsidRPr="00CD5810" w:rsidRDefault="00954619" w:rsidP="00954619">
            <w:pPr>
              <w:widowControl/>
              <w:autoSpaceDE/>
              <w:autoSpaceDN/>
              <w:rPr>
                <w:rFonts w:ascii="Trebuchet MS" w:hAnsi="Trebuchet MS"/>
                <w:color w:val="000000"/>
                <w:sz w:val="20"/>
                <w:szCs w:val="20"/>
                <w:lang w:val="et-EE" w:eastAsia="et-EE"/>
              </w:rPr>
            </w:pPr>
            <w:r w:rsidRPr="00CD5810">
              <w:rPr>
                <w:rFonts w:ascii="Trebuchet MS" w:hAnsi="Trebuchet MS"/>
                <w:color w:val="000000"/>
                <w:sz w:val="20"/>
                <w:szCs w:val="20"/>
                <w:lang w:val="et-EE" w:eastAsia="et-EE"/>
              </w:rPr>
              <w:t>2020</w:t>
            </w:r>
          </w:p>
        </w:tc>
        <w:tc>
          <w:tcPr>
            <w:tcW w:w="993" w:type="dxa"/>
            <w:tcBorders>
              <w:top w:val="single" w:sz="4" w:space="0" w:color="000000"/>
              <w:left w:val="nil"/>
              <w:bottom w:val="single" w:sz="4" w:space="0" w:color="000000"/>
              <w:right w:val="nil"/>
            </w:tcBorders>
            <w:shd w:val="clear" w:color="auto" w:fill="auto"/>
            <w:noWrap/>
            <w:hideMark/>
          </w:tcPr>
          <w:p w:rsidR="00954619" w:rsidRPr="00CD5810" w:rsidRDefault="00954619" w:rsidP="00954619">
            <w:pPr>
              <w:widowControl/>
              <w:autoSpaceDE/>
              <w:autoSpaceDN/>
              <w:rPr>
                <w:rFonts w:ascii="Trebuchet MS" w:hAnsi="Trebuchet MS"/>
                <w:color w:val="000000"/>
                <w:sz w:val="20"/>
                <w:szCs w:val="20"/>
                <w:lang w:val="et-EE" w:eastAsia="et-EE"/>
              </w:rPr>
            </w:pPr>
            <w:r w:rsidRPr="00CD5810">
              <w:rPr>
                <w:rFonts w:ascii="Trebuchet MS" w:hAnsi="Trebuchet MS"/>
                <w:color w:val="000000"/>
                <w:sz w:val="20"/>
                <w:szCs w:val="20"/>
                <w:lang w:val="et-EE" w:eastAsia="et-EE"/>
              </w:rPr>
              <w:t>2021</w:t>
            </w:r>
          </w:p>
        </w:tc>
        <w:tc>
          <w:tcPr>
            <w:tcW w:w="993" w:type="dxa"/>
            <w:tcBorders>
              <w:top w:val="single" w:sz="4" w:space="0" w:color="000000"/>
              <w:left w:val="nil"/>
              <w:bottom w:val="single" w:sz="4" w:space="0" w:color="000000"/>
              <w:right w:val="nil"/>
            </w:tcBorders>
            <w:shd w:val="clear" w:color="auto" w:fill="auto"/>
            <w:noWrap/>
            <w:hideMark/>
          </w:tcPr>
          <w:p w:rsidR="00954619" w:rsidRPr="00CD5810" w:rsidRDefault="00954619" w:rsidP="00954619">
            <w:pPr>
              <w:widowControl/>
              <w:autoSpaceDE/>
              <w:autoSpaceDN/>
              <w:rPr>
                <w:rFonts w:ascii="Trebuchet MS" w:hAnsi="Trebuchet MS"/>
                <w:color w:val="000000"/>
                <w:sz w:val="20"/>
                <w:szCs w:val="20"/>
                <w:lang w:val="et-EE" w:eastAsia="et-EE"/>
              </w:rPr>
            </w:pPr>
            <w:r w:rsidRPr="00CD5810">
              <w:rPr>
                <w:rFonts w:ascii="Trebuchet MS" w:hAnsi="Trebuchet MS"/>
                <w:color w:val="000000"/>
                <w:sz w:val="20"/>
                <w:szCs w:val="20"/>
                <w:lang w:val="et-EE" w:eastAsia="et-EE"/>
              </w:rPr>
              <w:t>2022</w:t>
            </w:r>
          </w:p>
        </w:tc>
        <w:tc>
          <w:tcPr>
            <w:tcW w:w="995" w:type="dxa"/>
            <w:tcBorders>
              <w:top w:val="single" w:sz="4" w:space="0" w:color="000000"/>
              <w:left w:val="nil"/>
              <w:bottom w:val="single" w:sz="4" w:space="0" w:color="000000"/>
              <w:right w:val="nil"/>
            </w:tcBorders>
            <w:shd w:val="clear" w:color="auto" w:fill="auto"/>
            <w:noWrap/>
            <w:hideMark/>
          </w:tcPr>
          <w:p w:rsidR="00954619" w:rsidRPr="00CD5810" w:rsidRDefault="00954619" w:rsidP="00954619">
            <w:pPr>
              <w:widowControl/>
              <w:autoSpaceDE/>
              <w:autoSpaceDN/>
              <w:rPr>
                <w:rFonts w:ascii="Trebuchet MS" w:hAnsi="Trebuchet MS"/>
                <w:color w:val="000000"/>
                <w:sz w:val="20"/>
                <w:szCs w:val="20"/>
                <w:lang w:val="et-EE" w:eastAsia="et-EE"/>
              </w:rPr>
            </w:pPr>
            <w:r w:rsidRPr="00CD5810">
              <w:rPr>
                <w:rFonts w:ascii="Trebuchet MS" w:hAnsi="Trebuchet MS"/>
                <w:color w:val="000000"/>
                <w:sz w:val="20"/>
                <w:szCs w:val="20"/>
                <w:lang w:val="et-EE" w:eastAsia="et-EE"/>
              </w:rPr>
              <w:t>2023</w:t>
            </w:r>
          </w:p>
        </w:tc>
      </w:tr>
      <w:tr w:rsidR="00954619" w:rsidRPr="00CD5810" w:rsidTr="00954619">
        <w:trPr>
          <w:trHeight w:val="262"/>
        </w:trPr>
        <w:tc>
          <w:tcPr>
            <w:tcW w:w="1776" w:type="dxa"/>
            <w:tcBorders>
              <w:top w:val="nil"/>
              <w:left w:val="nil"/>
              <w:bottom w:val="single" w:sz="4" w:space="0" w:color="000000"/>
              <w:right w:val="nil"/>
            </w:tcBorders>
            <w:shd w:val="clear" w:color="000000" w:fill="FAE3D4"/>
            <w:hideMark/>
          </w:tcPr>
          <w:p w:rsidR="00954619" w:rsidRPr="00CD5810" w:rsidRDefault="00954619" w:rsidP="00954619">
            <w:pPr>
              <w:widowControl/>
              <w:autoSpaceDE/>
              <w:autoSpaceDN/>
              <w:rPr>
                <w:rFonts w:ascii="Trebuchet MS" w:hAnsi="Trebuchet MS"/>
                <w:b/>
                <w:bCs/>
                <w:sz w:val="20"/>
                <w:szCs w:val="20"/>
                <w:lang w:val="et-EE" w:eastAsia="et-EE"/>
              </w:rPr>
            </w:pPr>
            <w:r w:rsidRPr="00CD5810">
              <w:rPr>
                <w:rFonts w:ascii="Trebuchet MS" w:hAnsi="Trebuchet MS"/>
                <w:b/>
                <w:bCs/>
                <w:sz w:val="20"/>
                <w:szCs w:val="20"/>
                <w:lang w:val="et-EE" w:eastAsia="et-EE"/>
              </w:rPr>
              <w:t>Maksukoormus</w:t>
            </w:r>
          </w:p>
        </w:tc>
        <w:tc>
          <w:tcPr>
            <w:tcW w:w="1361" w:type="dxa"/>
            <w:tcBorders>
              <w:top w:val="single" w:sz="4" w:space="0" w:color="000000"/>
              <w:left w:val="nil"/>
              <w:bottom w:val="single" w:sz="4" w:space="0" w:color="000000"/>
              <w:right w:val="nil"/>
            </w:tcBorders>
            <w:shd w:val="clear" w:color="000000" w:fill="FAE3D4"/>
            <w:noWrap/>
            <w:hideMark/>
          </w:tcPr>
          <w:p w:rsidR="00954619" w:rsidRPr="00CD5810" w:rsidRDefault="00954619" w:rsidP="00954619">
            <w:pPr>
              <w:widowControl/>
              <w:autoSpaceDE/>
              <w:autoSpaceDN/>
              <w:rPr>
                <w:rFonts w:ascii="Trebuchet MS" w:hAnsi="Trebuchet MS"/>
                <w:b/>
                <w:bCs/>
                <w:color w:val="000000"/>
                <w:sz w:val="20"/>
                <w:szCs w:val="20"/>
                <w:lang w:val="et-EE" w:eastAsia="et-EE"/>
              </w:rPr>
            </w:pPr>
            <w:r w:rsidRPr="00CD5810">
              <w:rPr>
                <w:rFonts w:ascii="Trebuchet MS" w:hAnsi="Trebuchet MS"/>
                <w:b/>
                <w:bCs/>
                <w:color w:val="000000"/>
                <w:sz w:val="20"/>
                <w:szCs w:val="20"/>
                <w:lang w:val="et-EE" w:eastAsia="et-EE"/>
              </w:rPr>
              <w:t>33,5</w:t>
            </w:r>
          </w:p>
        </w:tc>
        <w:tc>
          <w:tcPr>
            <w:tcW w:w="994" w:type="dxa"/>
            <w:tcBorders>
              <w:top w:val="single" w:sz="4" w:space="0" w:color="000000"/>
              <w:left w:val="nil"/>
              <w:bottom w:val="single" w:sz="4" w:space="0" w:color="000000"/>
              <w:right w:val="nil"/>
            </w:tcBorders>
            <w:shd w:val="clear" w:color="000000" w:fill="FAE3D4"/>
            <w:noWrap/>
            <w:hideMark/>
          </w:tcPr>
          <w:p w:rsidR="00954619" w:rsidRPr="00CD5810" w:rsidRDefault="00954619" w:rsidP="00954619">
            <w:pPr>
              <w:widowControl/>
              <w:autoSpaceDE/>
              <w:autoSpaceDN/>
              <w:rPr>
                <w:rFonts w:ascii="Trebuchet MS" w:hAnsi="Trebuchet MS"/>
                <w:b/>
                <w:bCs/>
                <w:color w:val="000000"/>
                <w:sz w:val="20"/>
                <w:szCs w:val="20"/>
                <w:lang w:val="et-EE" w:eastAsia="et-EE"/>
              </w:rPr>
            </w:pPr>
            <w:r w:rsidRPr="00CD5810">
              <w:rPr>
                <w:rFonts w:ascii="Trebuchet MS" w:hAnsi="Trebuchet MS"/>
                <w:b/>
                <w:bCs/>
                <w:color w:val="000000"/>
                <w:sz w:val="20"/>
                <w:szCs w:val="20"/>
                <w:lang w:val="et-EE" w:eastAsia="et-EE"/>
              </w:rPr>
              <w:t>32,5</w:t>
            </w:r>
          </w:p>
        </w:tc>
        <w:tc>
          <w:tcPr>
            <w:tcW w:w="993" w:type="dxa"/>
            <w:tcBorders>
              <w:top w:val="single" w:sz="4" w:space="0" w:color="000000"/>
              <w:left w:val="nil"/>
              <w:bottom w:val="single" w:sz="4" w:space="0" w:color="000000"/>
              <w:right w:val="nil"/>
            </w:tcBorders>
            <w:shd w:val="clear" w:color="000000" w:fill="FAE3D4"/>
            <w:noWrap/>
            <w:hideMark/>
          </w:tcPr>
          <w:p w:rsidR="00954619" w:rsidRPr="00CD5810" w:rsidRDefault="00954619" w:rsidP="00954619">
            <w:pPr>
              <w:widowControl/>
              <w:autoSpaceDE/>
              <w:autoSpaceDN/>
              <w:rPr>
                <w:rFonts w:ascii="Trebuchet MS" w:hAnsi="Trebuchet MS"/>
                <w:b/>
                <w:bCs/>
                <w:color w:val="000000"/>
                <w:sz w:val="20"/>
                <w:szCs w:val="20"/>
                <w:lang w:val="et-EE" w:eastAsia="et-EE"/>
              </w:rPr>
            </w:pPr>
            <w:r w:rsidRPr="00CD5810">
              <w:rPr>
                <w:rFonts w:ascii="Trebuchet MS" w:hAnsi="Trebuchet MS"/>
                <w:b/>
                <w:bCs/>
                <w:color w:val="000000"/>
                <w:sz w:val="20"/>
                <w:szCs w:val="20"/>
                <w:lang w:val="et-EE" w:eastAsia="et-EE"/>
              </w:rPr>
              <w:t>32,8</w:t>
            </w:r>
          </w:p>
        </w:tc>
        <w:tc>
          <w:tcPr>
            <w:tcW w:w="993" w:type="dxa"/>
            <w:tcBorders>
              <w:top w:val="single" w:sz="4" w:space="0" w:color="000000"/>
              <w:left w:val="nil"/>
              <w:bottom w:val="single" w:sz="4" w:space="0" w:color="000000"/>
              <w:right w:val="nil"/>
            </w:tcBorders>
            <w:shd w:val="clear" w:color="000000" w:fill="FAE3D4"/>
            <w:noWrap/>
            <w:hideMark/>
          </w:tcPr>
          <w:p w:rsidR="00954619" w:rsidRPr="00CD5810" w:rsidRDefault="00954619" w:rsidP="00954619">
            <w:pPr>
              <w:widowControl/>
              <w:autoSpaceDE/>
              <w:autoSpaceDN/>
              <w:rPr>
                <w:rFonts w:ascii="Trebuchet MS" w:hAnsi="Trebuchet MS"/>
                <w:b/>
                <w:bCs/>
                <w:color w:val="000000"/>
                <w:sz w:val="20"/>
                <w:szCs w:val="20"/>
                <w:lang w:val="et-EE" w:eastAsia="et-EE"/>
              </w:rPr>
            </w:pPr>
            <w:r w:rsidRPr="00CD5810">
              <w:rPr>
                <w:rFonts w:ascii="Trebuchet MS" w:hAnsi="Trebuchet MS"/>
                <w:b/>
                <w:bCs/>
                <w:color w:val="000000"/>
                <w:sz w:val="20"/>
                <w:szCs w:val="20"/>
                <w:lang w:val="et-EE" w:eastAsia="et-EE"/>
              </w:rPr>
              <w:t>33,1</w:t>
            </w:r>
          </w:p>
        </w:tc>
        <w:tc>
          <w:tcPr>
            <w:tcW w:w="993" w:type="dxa"/>
            <w:tcBorders>
              <w:top w:val="single" w:sz="4" w:space="0" w:color="000000"/>
              <w:left w:val="nil"/>
              <w:bottom w:val="single" w:sz="4" w:space="0" w:color="000000"/>
              <w:right w:val="nil"/>
            </w:tcBorders>
            <w:shd w:val="clear" w:color="000000" w:fill="FAE3D4"/>
            <w:noWrap/>
            <w:hideMark/>
          </w:tcPr>
          <w:p w:rsidR="00954619" w:rsidRPr="00CD5810" w:rsidRDefault="00954619" w:rsidP="00954619">
            <w:pPr>
              <w:widowControl/>
              <w:autoSpaceDE/>
              <w:autoSpaceDN/>
              <w:rPr>
                <w:rFonts w:ascii="Trebuchet MS" w:hAnsi="Trebuchet MS"/>
                <w:b/>
                <w:bCs/>
                <w:color w:val="000000"/>
                <w:sz w:val="20"/>
                <w:szCs w:val="20"/>
                <w:lang w:val="et-EE" w:eastAsia="et-EE"/>
              </w:rPr>
            </w:pPr>
            <w:r w:rsidRPr="00CD5810">
              <w:rPr>
                <w:rFonts w:ascii="Trebuchet MS" w:hAnsi="Trebuchet MS"/>
                <w:b/>
                <w:bCs/>
                <w:color w:val="000000"/>
                <w:sz w:val="20"/>
                <w:szCs w:val="20"/>
                <w:lang w:val="et-EE" w:eastAsia="et-EE"/>
              </w:rPr>
              <w:t>33,2</w:t>
            </w:r>
          </w:p>
        </w:tc>
        <w:tc>
          <w:tcPr>
            <w:tcW w:w="993" w:type="dxa"/>
            <w:tcBorders>
              <w:top w:val="single" w:sz="4" w:space="0" w:color="000000"/>
              <w:left w:val="nil"/>
              <w:bottom w:val="single" w:sz="4" w:space="0" w:color="000000"/>
              <w:right w:val="nil"/>
            </w:tcBorders>
            <w:shd w:val="clear" w:color="000000" w:fill="FAE3D4"/>
            <w:noWrap/>
            <w:hideMark/>
          </w:tcPr>
          <w:p w:rsidR="00954619" w:rsidRPr="00CD5810" w:rsidRDefault="00954619" w:rsidP="00954619">
            <w:pPr>
              <w:widowControl/>
              <w:autoSpaceDE/>
              <w:autoSpaceDN/>
              <w:rPr>
                <w:rFonts w:ascii="Trebuchet MS" w:hAnsi="Trebuchet MS"/>
                <w:b/>
                <w:bCs/>
                <w:color w:val="000000"/>
                <w:sz w:val="20"/>
                <w:szCs w:val="20"/>
                <w:lang w:val="et-EE" w:eastAsia="et-EE"/>
              </w:rPr>
            </w:pPr>
            <w:r w:rsidRPr="00CD5810">
              <w:rPr>
                <w:rFonts w:ascii="Trebuchet MS" w:hAnsi="Trebuchet MS"/>
                <w:b/>
                <w:bCs/>
                <w:color w:val="000000"/>
                <w:sz w:val="20"/>
                <w:szCs w:val="20"/>
                <w:lang w:val="et-EE" w:eastAsia="et-EE"/>
              </w:rPr>
              <w:t>33,1</w:t>
            </w:r>
          </w:p>
        </w:tc>
        <w:tc>
          <w:tcPr>
            <w:tcW w:w="993" w:type="dxa"/>
            <w:tcBorders>
              <w:top w:val="single" w:sz="4" w:space="0" w:color="000000"/>
              <w:left w:val="nil"/>
              <w:bottom w:val="single" w:sz="4" w:space="0" w:color="000000"/>
              <w:right w:val="nil"/>
            </w:tcBorders>
            <w:shd w:val="clear" w:color="000000" w:fill="FAE3D4"/>
            <w:noWrap/>
            <w:hideMark/>
          </w:tcPr>
          <w:p w:rsidR="00954619" w:rsidRPr="00CD5810" w:rsidRDefault="00954619" w:rsidP="00954619">
            <w:pPr>
              <w:widowControl/>
              <w:autoSpaceDE/>
              <w:autoSpaceDN/>
              <w:rPr>
                <w:rFonts w:ascii="Trebuchet MS" w:hAnsi="Trebuchet MS"/>
                <w:b/>
                <w:bCs/>
                <w:color w:val="000000"/>
                <w:sz w:val="20"/>
                <w:szCs w:val="20"/>
                <w:lang w:val="et-EE" w:eastAsia="et-EE"/>
              </w:rPr>
            </w:pPr>
            <w:r w:rsidRPr="00CD5810">
              <w:rPr>
                <w:rFonts w:ascii="Trebuchet MS" w:hAnsi="Trebuchet MS"/>
                <w:b/>
                <w:bCs/>
                <w:color w:val="000000"/>
                <w:sz w:val="20"/>
                <w:szCs w:val="20"/>
                <w:lang w:val="et-EE" w:eastAsia="et-EE"/>
              </w:rPr>
              <w:t>32,6</w:t>
            </w:r>
          </w:p>
        </w:tc>
        <w:tc>
          <w:tcPr>
            <w:tcW w:w="995" w:type="dxa"/>
            <w:tcBorders>
              <w:top w:val="single" w:sz="4" w:space="0" w:color="000000"/>
              <w:left w:val="nil"/>
              <w:bottom w:val="single" w:sz="4" w:space="0" w:color="000000"/>
              <w:right w:val="nil"/>
            </w:tcBorders>
            <w:shd w:val="clear" w:color="000000" w:fill="FAE3D4"/>
            <w:noWrap/>
            <w:hideMark/>
          </w:tcPr>
          <w:p w:rsidR="00954619" w:rsidRPr="00CD5810" w:rsidRDefault="00954619" w:rsidP="00954619">
            <w:pPr>
              <w:widowControl/>
              <w:autoSpaceDE/>
              <w:autoSpaceDN/>
              <w:rPr>
                <w:rFonts w:ascii="Trebuchet MS" w:hAnsi="Trebuchet MS"/>
                <w:b/>
                <w:bCs/>
                <w:color w:val="000000"/>
                <w:sz w:val="20"/>
                <w:szCs w:val="20"/>
                <w:lang w:val="et-EE" w:eastAsia="et-EE"/>
              </w:rPr>
            </w:pPr>
            <w:r w:rsidRPr="00CD5810">
              <w:rPr>
                <w:rFonts w:ascii="Trebuchet MS" w:hAnsi="Trebuchet MS"/>
                <w:b/>
                <w:bCs/>
                <w:color w:val="000000"/>
                <w:sz w:val="20"/>
                <w:szCs w:val="20"/>
                <w:lang w:val="et-EE" w:eastAsia="et-EE"/>
              </w:rPr>
              <w:t>32,4</w:t>
            </w:r>
          </w:p>
        </w:tc>
      </w:tr>
    </w:tbl>
    <w:p w:rsidR="00CD5810" w:rsidRDefault="00CD5810" w:rsidP="00326510">
      <w:pPr>
        <w:jc w:val="both"/>
        <w:rPr>
          <w:sz w:val="24"/>
          <w:szCs w:val="24"/>
        </w:rPr>
      </w:pPr>
    </w:p>
    <w:p w:rsidR="00CD5810" w:rsidRPr="00CB5301" w:rsidRDefault="00CD5810" w:rsidP="00326510">
      <w:pPr>
        <w:jc w:val="both"/>
        <w:rPr>
          <w:sz w:val="24"/>
          <w:szCs w:val="24"/>
        </w:rPr>
      </w:pPr>
    </w:p>
    <w:p w:rsidR="006D719C" w:rsidRPr="00121B6A" w:rsidRDefault="005D3DB8" w:rsidP="00261F5C">
      <w:pPr>
        <w:pStyle w:val="Heading1"/>
        <w:numPr>
          <w:ilvl w:val="1"/>
          <w:numId w:val="2"/>
        </w:numPr>
      </w:pPr>
      <w:bookmarkStart w:id="5" w:name="_Toc529432876"/>
      <w:bookmarkStart w:id="6" w:name="_Toc22542297"/>
      <w:r w:rsidRPr="00121B6A">
        <w:t>Vinni</w:t>
      </w:r>
      <w:r w:rsidR="00E82AF1" w:rsidRPr="00121B6A">
        <w:t xml:space="preserve"> valla</w:t>
      </w:r>
      <w:r w:rsidR="0021517C" w:rsidRPr="00121B6A">
        <w:t xml:space="preserve"> ülevaade.</w:t>
      </w:r>
      <w:bookmarkEnd w:id="5"/>
      <w:bookmarkEnd w:id="6"/>
    </w:p>
    <w:p w:rsidR="006F73E5" w:rsidRDefault="006F73E5" w:rsidP="00121B6A">
      <w:pPr>
        <w:pStyle w:val="Heading1"/>
        <w:numPr>
          <w:ilvl w:val="0"/>
          <w:numId w:val="0"/>
        </w:numPr>
        <w:ind w:left="432"/>
      </w:pPr>
    </w:p>
    <w:p w:rsidR="007419A7" w:rsidRDefault="006F73E5" w:rsidP="007419A7">
      <w:pPr>
        <w:jc w:val="both"/>
        <w:rPr>
          <w:sz w:val="24"/>
          <w:szCs w:val="24"/>
        </w:rPr>
      </w:pPr>
      <w:r w:rsidRPr="007419A7">
        <w:rPr>
          <w:sz w:val="24"/>
          <w:szCs w:val="24"/>
        </w:rPr>
        <w:t xml:space="preserve">Vinni vald tekkis 2017. </w:t>
      </w:r>
      <w:r w:rsidR="007419A7" w:rsidRPr="007419A7">
        <w:rPr>
          <w:sz w:val="24"/>
          <w:szCs w:val="24"/>
        </w:rPr>
        <w:t>aastal haldusreformi tulemusena</w:t>
      </w:r>
      <w:r w:rsidR="00AA3B4E">
        <w:rPr>
          <w:sz w:val="24"/>
          <w:szCs w:val="24"/>
        </w:rPr>
        <w:t>,</w:t>
      </w:r>
      <w:r w:rsidR="007419A7" w:rsidRPr="007419A7">
        <w:rPr>
          <w:sz w:val="24"/>
          <w:szCs w:val="24"/>
        </w:rPr>
        <w:t xml:space="preserve"> kui Vinni vallaga liitusid Rägavere ja Laekvere vald.</w:t>
      </w:r>
    </w:p>
    <w:p w:rsidR="00AA3B4E" w:rsidRDefault="00AA3B4E" w:rsidP="007419A7">
      <w:pPr>
        <w:jc w:val="both"/>
        <w:rPr>
          <w:sz w:val="24"/>
          <w:szCs w:val="24"/>
        </w:rPr>
      </w:pPr>
    </w:p>
    <w:p w:rsidR="006F73E5" w:rsidRDefault="00AA3B4E" w:rsidP="007419A7">
      <w:pPr>
        <w:jc w:val="both"/>
        <w:rPr>
          <w:sz w:val="24"/>
          <w:szCs w:val="24"/>
        </w:rPr>
      </w:pPr>
      <w:r>
        <w:rPr>
          <w:sz w:val="24"/>
          <w:szCs w:val="24"/>
        </w:rPr>
        <w:t xml:space="preserve">Vinni vald on suurima pindalaga (1012,80 </w:t>
      </w:r>
      <w:r w:rsidRPr="007419A7">
        <w:rPr>
          <w:sz w:val="24"/>
          <w:szCs w:val="24"/>
        </w:rPr>
        <w:t>km</w:t>
      </w:r>
      <w:r w:rsidRPr="007419A7">
        <w:rPr>
          <w:sz w:val="24"/>
          <w:szCs w:val="24"/>
          <w:vertAlign w:val="superscript"/>
        </w:rPr>
        <w:t>2</w:t>
      </w:r>
      <w:r>
        <w:rPr>
          <w:sz w:val="24"/>
          <w:szCs w:val="24"/>
        </w:rPr>
        <w:t>)</w:t>
      </w:r>
      <w:r>
        <w:rPr>
          <w:sz w:val="24"/>
          <w:szCs w:val="24"/>
          <w:vertAlign w:val="superscript"/>
        </w:rPr>
        <w:t xml:space="preserve"> </w:t>
      </w:r>
      <w:r>
        <w:rPr>
          <w:sz w:val="24"/>
          <w:szCs w:val="24"/>
        </w:rPr>
        <w:t>vald Lääne-Virumaal</w:t>
      </w:r>
      <w:r w:rsidR="00B73CCC">
        <w:rPr>
          <w:sz w:val="24"/>
          <w:szCs w:val="24"/>
        </w:rPr>
        <w:t xml:space="preserve">. </w:t>
      </w:r>
      <w:r w:rsidR="006F73E5" w:rsidRPr="007419A7">
        <w:rPr>
          <w:sz w:val="24"/>
          <w:szCs w:val="24"/>
          <w:shd w:val="clear" w:color="auto" w:fill="FFFFFF"/>
        </w:rPr>
        <w:t>Ühinenud Vinni vallas on </w:t>
      </w:r>
      <w:hyperlink r:id="rId9" w:history="1">
        <w:r w:rsidR="006F73E5" w:rsidRPr="007419A7">
          <w:rPr>
            <w:rStyle w:val="Hyperlink"/>
            <w:bCs/>
            <w:color w:val="auto"/>
            <w:sz w:val="24"/>
            <w:szCs w:val="24"/>
            <w:u w:val="none"/>
            <w:shd w:val="clear" w:color="auto" w:fill="FFFFFF"/>
          </w:rPr>
          <w:t>70 küla ja 6 alevikku</w:t>
        </w:r>
      </w:hyperlink>
      <w:r w:rsidR="006F73E5" w:rsidRPr="007419A7">
        <w:rPr>
          <w:sz w:val="24"/>
          <w:szCs w:val="24"/>
          <w:shd w:val="clear" w:color="auto" w:fill="FFFFFF"/>
        </w:rPr>
        <w:t> (Vinni, Pajusti, Roela, Laekvere, Viru-Jaagupi  ja Tu</w:t>
      </w:r>
      <w:r w:rsidR="00B73CCC">
        <w:rPr>
          <w:sz w:val="24"/>
          <w:szCs w:val="24"/>
          <w:shd w:val="clear" w:color="auto" w:fill="FFFFFF"/>
        </w:rPr>
        <w:t>du), kokku 76 asulat.</w:t>
      </w:r>
    </w:p>
    <w:p w:rsidR="0032151A" w:rsidRDefault="0032151A" w:rsidP="007419A7">
      <w:pPr>
        <w:jc w:val="both"/>
        <w:rPr>
          <w:sz w:val="24"/>
          <w:szCs w:val="24"/>
        </w:rPr>
      </w:pPr>
    </w:p>
    <w:p w:rsidR="008361BA" w:rsidRDefault="00ED4629" w:rsidP="007419A7">
      <w:pPr>
        <w:jc w:val="both"/>
        <w:rPr>
          <w:sz w:val="24"/>
          <w:szCs w:val="24"/>
        </w:rPr>
      </w:pPr>
      <w:r>
        <w:rPr>
          <w:sz w:val="24"/>
          <w:szCs w:val="24"/>
        </w:rPr>
        <w:t>Statistikaameti</w:t>
      </w:r>
      <w:r w:rsidR="008361BA">
        <w:rPr>
          <w:sz w:val="24"/>
          <w:szCs w:val="24"/>
        </w:rPr>
        <w:t xml:space="preserve"> andmetel </w:t>
      </w:r>
      <w:r w:rsidR="005E4E82">
        <w:rPr>
          <w:sz w:val="24"/>
          <w:szCs w:val="24"/>
        </w:rPr>
        <w:t xml:space="preserve">elas </w:t>
      </w:r>
      <w:r>
        <w:rPr>
          <w:sz w:val="24"/>
          <w:szCs w:val="24"/>
        </w:rPr>
        <w:t>Vinni vallas:</w:t>
      </w:r>
    </w:p>
    <w:p w:rsidR="00ED4629" w:rsidRPr="00ED4629" w:rsidRDefault="00ED4629" w:rsidP="0032151A">
      <w:pPr>
        <w:pStyle w:val="ListParagraph"/>
        <w:numPr>
          <w:ilvl w:val="0"/>
          <w:numId w:val="21"/>
        </w:numPr>
        <w:jc w:val="both"/>
        <w:rPr>
          <w:sz w:val="24"/>
          <w:szCs w:val="24"/>
        </w:rPr>
      </w:pPr>
      <w:r>
        <w:rPr>
          <w:color w:val="000000"/>
          <w:sz w:val="24"/>
          <w:szCs w:val="24"/>
          <w:lang w:eastAsia="et-EE"/>
        </w:rPr>
        <w:t>2017. aastal 6943 inimest;</w:t>
      </w:r>
    </w:p>
    <w:p w:rsidR="00ED4629" w:rsidRPr="00ED4629" w:rsidRDefault="00EA60F0" w:rsidP="0032151A">
      <w:pPr>
        <w:pStyle w:val="ListParagraph"/>
        <w:numPr>
          <w:ilvl w:val="0"/>
          <w:numId w:val="21"/>
        </w:numPr>
        <w:jc w:val="both"/>
        <w:rPr>
          <w:sz w:val="24"/>
          <w:szCs w:val="24"/>
        </w:rPr>
      </w:pPr>
      <w:r>
        <w:rPr>
          <w:color w:val="000000"/>
          <w:sz w:val="24"/>
          <w:szCs w:val="24"/>
          <w:lang w:eastAsia="et-EE"/>
        </w:rPr>
        <w:t>2018. aastal 6</w:t>
      </w:r>
      <w:r w:rsidR="00ED4629">
        <w:rPr>
          <w:color w:val="000000"/>
          <w:sz w:val="24"/>
          <w:szCs w:val="24"/>
          <w:lang w:eastAsia="et-EE"/>
        </w:rPr>
        <w:t>812 inimest;</w:t>
      </w:r>
    </w:p>
    <w:p w:rsidR="00A27A28" w:rsidRPr="00ED4629" w:rsidRDefault="00ED4629" w:rsidP="00ED4629">
      <w:pPr>
        <w:pStyle w:val="ListParagraph"/>
        <w:numPr>
          <w:ilvl w:val="0"/>
          <w:numId w:val="21"/>
        </w:numPr>
        <w:jc w:val="both"/>
      </w:pPr>
      <w:r>
        <w:rPr>
          <w:color w:val="000000"/>
          <w:sz w:val="24"/>
          <w:szCs w:val="24"/>
          <w:lang w:eastAsia="et-EE"/>
        </w:rPr>
        <w:t>2019. aasta (6 kuud) 6834 inimest.</w:t>
      </w:r>
    </w:p>
    <w:p w:rsidR="00ED4629" w:rsidRPr="0055738F" w:rsidRDefault="00ED4629" w:rsidP="00ED4629">
      <w:pPr>
        <w:jc w:val="both"/>
      </w:pPr>
    </w:p>
    <w:p w:rsidR="007419A7" w:rsidRPr="00ED4629" w:rsidRDefault="0055738F" w:rsidP="0032151A">
      <w:pPr>
        <w:rPr>
          <w:sz w:val="24"/>
          <w:szCs w:val="24"/>
        </w:rPr>
      </w:pPr>
      <w:r w:rsidRPr="00ED4629">
        <w:rPr>
          <w:sz w:val="24"/>
          <w:szCs w:val="24"/>
        </w:rPr>
        <w:t>Eesti töötukassa andmetel oli 2018. aasta lõpus Vinni vallas töötute arv 180 ning 31.08.2019 seisuga 155 töötut, sh:</w:t>
      </w:r>
    </w:p>
    <w:p w:rsidR="006D719C" w:rsidRPr="00ED4629" w:rsidRDefault="00E82AF1" w:rsidP="0055738F">
      <w:pPr>
        <w:pStyle w:val="ListParagraph"/>
        <w:numPr>
          <w:ilvl w:val="0"/>
          <w:numId w:val="22"/>
        </w:numPr>
        <w:jc w:val="both"/>
        <w:rPr>
          <w:sz w:val="24"/>
          <w:szCs w:val="24"/>
        </w:rPr>
      </w:pPr>
      <w:r w:rsidRPr="00ED4629">
        <w:rPr>
          <w:sz w:val="24"/>
          <w:szCs w:val="24"/>
        </w:rPr>
        <w:t>16-24-aastaseid</w:t>
      </w:r>
      <w:r w:rsidRPr="00ED4629">
        <w:rPr>
          <w:sz w:val="24"/>
          <w:szCs w:val="24"/>
        </w:rPr>
        <w:tab/>
      </w:r>
      <w:r w:rsidR="00F00375" w:rsidRPr="00ED4629">
        <w:rPr>
          <w:sz w:val="24"/>
          <w:szCs w:val="24"/>
        </w:rPr>
        <w:t>26</w:t>
      </w:r>
    </w:p>
    <w:p w:rsidR="006D719C" w:rsidRPr="00ED4629" w:rsidRDefault="00E82AF1" w:rsidP="003F6AF5">
      <w:pPr>
        <w:pStyle w:val="ListParagraph"/>
        <w:numPr>
          <w:ilvl w:val="0"/>
          <w:numId w:val="22"/>
        </w:numPr>
        <w:jc w:val="both"/>
        <w:rPr>
          <w:sz w:val="24"/>
          <w:szCs w:val="24"/>
        </w:rPr>
      </w:pPr>
      <w:r w:rsidRPr="00ED4629">
        <w:rPr>
          <w:sz w:val="24"/>
          <w:szCs w:val="24"/>
        </w:rPr>
        <w:t>25-54-aastaseid</w:t>
      </w:r>
      <w:r w:rsidRPr="00ED4629">
        <w:rPr>
          <w:sz w:val="24"/>
          <w:szCs w:val="24"/>
        </w:rPr>
        <w:tab/>
      </w:r>
      <w:r w:rsidR="00F00375" w:rsidRPr="00ED4629">
        <w:rPr>
          <w:sz w:val="24"/>
          <w:szCs w:val="24"/>
        </w:rPr>
        <w:t>87</w:t>
      </w:r>
    </w:p>
    <w:p w:rsidR="006D719C" w:rsidRPr="00ED4629" w:rsidRDefault="00E82AF1" w:rsidP="0055738F">
      <w:pPr>
        <w:pStyle w:val="ListParagraph"/>
        <w:numPr>
          <w:ilvl w:val="0"/>
          <w:numId w:val="22"/>
        </w:numPr>
        <w:jc w:val="both"/>
        <w:rPr>
          <w:sz w:val="24"/>
          <w:szCs w:val="24"/>
        </w:rPr>
      </w:pPr>
      <w:r w:rsidRPr="00ED4629">
        <w:rPr>
          <w:sz w:val="24"/>
          <w:szCs w:val="24"/>
        </w:rPr>
        <w:t>55-….</w:t>
      </w:r>
      <w:r w:rsidRPr="00ED4629">
        <w:rPr>
          <w:spacing w:val="-1"/>
          <w:sz w:val="24"/>
          <w:szCs w:val="24"/>
        </w:rPr>
        <w:t xml:space="preserve"> </w:t>
      </w:r>
      <w:r w:rsidRPr="00ED4629">
        <w:rPr>
          <w:sz w:val="24"/>
          <w:szCs w:val="24"/>
        </w:rPr>
        <w:t>aastaseid</w:t>
      </w:r>
      <w:r w:rsidRPr="00ED4629">
        <w:rPr>
          <w:sz w:val="24"/>
          <w:szCs w:val="24"/>
        </w:rPr>
        <w:tab/>
      </w:r>
      <w:r w:rsidR="00F00375" w:rsidRPr="00ED4629">
        <w:rPr>
          <w:sz w:val="24"/>
          <w:szCs w:val="24"/>
        </w:rPr>
        <w:t>42</w:t>
      </w:r>
    </w:p>
    <w:p w:rsidR="00706D7B" w:rsidRPr="00ED4629" w:rsidRDefault="00706D7B" w:rsidP="00326510">
      <w:pPr>
        <w:jc w:val="both"/>
        <w:rPr>
          <w:sz w:val="24"/>
          <w:szCs w:val="24"/>
        </w:rPr>
      </w:pPr>
    </w:p>
    <w:p w:rsidR="00D540BD" w:rsidRPr="00ED4629" w:rsidRDefault="00E82AF1" w:rsidP="00326510">
      <w:pPr>
        <w:jc w:val="both"/>
        <w:rPr>
          <w:sz w:val="24"/>
          <w:szCs w:val="24"/>
        </w:rPr>
      </w:pPr>
      <w:r w:rsidRPr="00ED4629">
        <w:rPr>
          <w:sz w:val="24"/>
          <w:szCs w:val="24"/>
        </w:rPr>
        <w:t>Rahandusministeeriumi andmetel oli maksumaksjate keskmine arv</w:t>
      </w:r>
    </w:p>
    <w:p w:rsidR="00D540BD" w:rsidRPr="00ED4629" w:rsidRDefault="00D540BD" w:rsidP="00326510">
      <w:pPr>
        <w:jc w:val="both"/>
        <w:rPr>
          <w:sz w:val="24"/>
          <w:szCs w:val="24"/>
        </w:rPr>
      </w:pPr>
      <w:r w:rsidRPr="00ED4629">
        <w:rPr>
          <w:sz w:val="24"/>
          <w:szCs w:val="24"/>
        </w:rPr>
        <w:t>2016 aastal</w:t>
      </w:r>
      <w:r w:rsidRPr="00ED4629">
        <w:rPr>
          <w:sz w:val="24"/>
          <w:szCs w:val="24"/>
        </w:rPr>
        <w:tab/>
      </w:r>
      <w:r w:rsidRPr="00ED4629">
        <w:rPr>
          <w:sz w:val="24"/>
          <w:szCs w:val="24"/>
        </w:rPr>
        <w:tab/>
        <w:t>3 037</w:t>
      </w:r>
    </w:p>
    <w:p w:rsidR="00D540BD" w:rsidRPr="00ED4629" w:rsidRDefault="00D540BD" w:rsidP="00326510">
      <w:pPr>
        <w:jc w:val="both"/>
        <w:rPr>
          <w:sz w:val="24"/>
          <w:szCs w:val="24"/>
        </w:rPr>
      </w:pPr>
      <w:r w:rsidRPr="00ED4629">
        <w:rPr>
          <w:sz w:val="24"/>
          <w:szCs w:val="24"/>
        </w:rPr>
        <w:t xml:space="preserve">2017 aastal </w:t>
      </w:r>
      <w:r w:rsidRPr="00ED4629">
        <w:rPr>
          <w:sz w:val="24"/>
          <w:szCs w:val="24"/>
        </w:rPr>
        <w:tab/>
      </w:r>
      <w:r w:rsidRPr="00ED4629">
        <w:rPr>
          <w:sz w:val="24"/>
          <w:szCs w:val="24"/>
        </w:rPr>
        <w:tab/>
        <w:t>3 047</w:t>
      </w:r>
    </w:p>
    <w:p w:rsidR="00D540BD" w:rsidRPr="00ED4629" w:rsidRDefault="000F76F3" w:rsidP="00326510">
      <w:pPr>
        <w:jc w:val="both"/>
        <w:rPr>
          <w:sz w:val="24"/>
          <w:szCs w:val="24"/>
        </w:rPr>
      </w:pPr>
      <w:r w:rsidRPr="00ED4629">
        <w:rPr>
          <w:sz w:val="24"/>
          <w:szCs w:val="24"/>
        </w:rPr>
        <w:t>2018 aastal</w:t>
      </w:r>
      <w:r w:rsidRPr="00ED4629">
        <w:rPr>
          <w:sz w:val="24"/>
          <w:szCs w:val="24"/>
        </w:rPr>
        <w:tab/>
      </w:r>
      <w:r w:rsidR="00D540BD" w:rsidRPr="00ED4629">
        <w:rPr>
          <w:sz w:val="24"/>
          <w:szCs w:val="24"/>
        </w:rPr>
        <w:tab/>
        <w:t>3</w:t>
      </w:r>
      <w:r w:rsidRPr="00ED4629">
        <w:rPr>
          <w:sz w:val="24"/>
          <w:szCs w:val="24"/>
        </w:rPr>
        <w:t> </w:t>
      </w:r>
      <w:r w:rsidR="00D540BD" w:rsidRPr="00ED4629">
        <w:rPr>
          <w:sz w:val="24"/>
          <w:szCs w:val="24"/>
        </w:rPr>
        <w:t>1</w:t>
      </w:r>
      <w:r w:rsidRPr="00ED4629">
        <w:rPr>
          <w:sz w:val="24"/>
          <w:szCs w:val="24"/>
        </w:rPr>
        <w:t>76</w:t>
      </w:r>
    </w:p>
    <w:p w:rsidR="000F76F3" w:rsidRPr="00ED4629" w:rsidRDefault="000F76F3" w:rsidP="00326510">
      <w:pPr>
        <w:jc w:val="both"/>
        <w:rPr>
          <w:sz w:val="24"/>
          <w:szCs w:val="24"/>
        </w:rPr>
      </w:pPr>
      <w:r w:rsidRPr="00ED4629">
        <w:rPr>
          <w:sz w:val="24"/>
          <w:szCs w:val="24"/>
        </w:rPr>
        <w:t>2019. aasta (6 kuud)</w:t>
      </w:r>
      <w:r w:rsidRPr="00ED4629">
        <w:rPr>
          <w:sz w:val="24"/>
          <w:szCs w:val="24"/>
        </w:rPr>
        <w:tab/>
        <w:t>3</w:t>
      </w:r>
      <w:r w:rsidR="008C452E" w:rsidRPr="00ED4629">
        <w:rPr>
          <w:sz w:val="24"/>
          <w:szCs w:val="24"/>
        </w:rPr>
        <w:t xml:space="preserve"> </w:t>
      </w:r>
      <w:r w:rsidRPr="00ED4629">
        <w:rPr>
          <w:sz w:val="24"/>
          <w:szCs w:val="24"/>
        </w:rPr>
        <w:t>260</w:t>
      </w:r>
    </w:p>
    <w:p w:rsidR="00D540BD" w:rsidRPr="009F6F14" w:rsidRDefault="00D540BD" w:rsidP="00326510">
      <w:pPr>
        <w:jc w:val="both"/>
        <w:rPr>
          <w:sz w:val="24"/>
          <w:szCs w:val="24"/>
        </w:rPr>
      </w:pPr>
    </w:p>
    <w:p w:rsidR="004B35E3" w:rsidRPr="00A27A28" w:rsidRDefault="004B35E3" w:rsidP="00326510">
      <w:pPr>
        <w:jc w:val="both"/>
        <w:rPr>
          <w:i/>
          <w:sz w:val="24"/>
          <w:szCs w:val="24"/>
        </w:rPr>
      </w:pPr>
    </w:p>
    <w:p w:rsidR="006D719C" w:rsidRPr="007419A7" w:rsidRDefault="00E82AF1" w:rsidP="007419A7">
      <w:pPr>
        <w:jc w:val="both"/>
        <w:rPr>
          <w:sz w:val="24"/>
          <w:szCs w:val="24"/>
        </w:rPr>
      </w:pPr>
      <w:r w:rsidRPr="007419A7">
        <w:rPr>
          <w:sz w:val="24"/>
          <w:szCs w:val="24"/>
        </w:rPr>
        <w:t xml:space="preserve">Rahandusministeeriumi andmetel oli keskmine kuu brutotulu TSD-deklaratsioonide alusel </w:t>
      </w:r>
      <w:r w:rsidR="005D3DB8" w:rsidRPr="007419A7">
        <w:rPr>
          <w:sz w:val="24"/>
          <w:szCs w:val="24"/>
        </w:rPr>
        <w:t>Vinni</w:t>
      </w:r>
      <w:r w:rsidR="00F36C2F">
        <w:rPr>
          <w:sz w:val="24"/>
          <w:szCs w:val="24"/>
        </w:rPr>
        <w:t xml:space="preserve"> vallas 2018</w:t>
      </w:r>
      <w:r w:rsidRPr="007419A7">
        <w:rPr>
          <w:sz w:val="24"/>
          <w:szCs w:val="24"/>
        </w:rPr>
        <w:t>. aastal 1 01</w:t>
      </w:r>
      <w:r w:rsidR="00F36C2F">
        <w:rPr>
          <w:sz w:val="24"/>
          <w:szCs w:val="24"/>
        </w:rPr>
        <w:t>0</w:t>
      </w:r>
      <w:r w:rsidRPr="007419A7">
        <w:rPr>
          <w:sz w:val="24"/>
          <w:szCs w:val="24"/>
        </w:rPr>
        <w:t xml:space="preserve"> eurot</w:t>
      </w:r>
      <w:r w:rsidR="008A4DD9">
        <w:rPr>
          <w:sz w:val="24"/>
          <w:szCs w:val="24"/>
        </w:rPr>
        <w:t xml:space="preserve"> (võrreldes 2017. aastaga +15 eurot)</w:t>
      </w:r>
      <w:r w:rsidRPr="007419A7">
        <w:rPr>
          <w:sz w:val="24"/>
          <w:szCs w:val="24"/>
        </w:rPr>
        <w:t xml:space="preserve"> ja 201</w:t>
      </w:r>
      <w:r w:rsidR="00F36C2F">
        <w:rPr>
          <w:sz w:val="24"/>
          <w:szCs w:val="24"/>
        </w:rPr>
        <w:t>9</w:t>
      </w:r>
      <w:r w:rsidRPr="007419A7">
        <w:rPr>
          <w:sz w:val="24"/>
          <w:szCs w:val="24"/>
        </w:rPr>
        <w:t xml:space="preserve">. aastal </w:t>
      </w:r>
      <w:r w:rsidR="00F36C2F">
        <w:rPr>
          <w:sz w:val="24"/>
          <w:szCs w:val="24"/>
        </w:rPr>
        <w:t>(6</w:t>
      </w:r>
      <w:r w:rsidR="008A4DD9">
        <w:rPr>
          <w:sz w:val="24"/>
          <w:szCs w:val="24"/>
        </w:rPr>
        <w:t xml:space="preserve"> kuu andmetel</w:t>
      </w:r>
      <w:r w:rsidR="00E037F1" w:rsidRPr="007419A7">
        <w:rPr>
          <w:sz w:val="24"/>
          <w:szCs w:val="24"/>
        </w:rPr>
        <w:t xml:space="preserve">) </w:t>
      </w:r>
      <w:r w:rsidR="00F36C2F">
        <w:rPr>
          <w:sz w:val="24"/>
          <w:szCs w:val="24"/>
        </w:rPr>
        <w:t>1</w:t>
      </w:r>
      <w:r w:rsidR="008A4DD9">
        <w:rPr>
          <w:sz w:val="24"/>
          <w:szCs w:val="24"/>
        </w:rPr>
        <w:t xml:space="preserve"> </w:t>
      </w:r>
      <w:r w:rsidR="00F36C2F">
        <w:rPr>
          <w:sz w:val="24"/>
          <w:szCs w:val="24"/>
        </w:rPr>
        <w:t>025</w:t>
      </w:r>
      <w:r w:rsidRPr="007419A7">
        <w:rPr>
          <w:sz w:val="24"/>
          <w:szCs w:val="24"/>
        </w:rPr>
        <w:t xml:space="preserve"> eurot.</w:t>
      </w:r>
    </w:p>
    <w:p w:rsidR="006D719C" w:rsidRDefault="006D719C" w:rsidP="007419A7">
      <w:pPr>
        <w:jc w:val="both"/>
        <w:rPr>
          <w:sz w:val="24"/>
          <w:szCs w:val="24"/>
        </w:rPr>
      </w:pPr>
    </w:p>
    <w:p w:rsidR="00B73CCC" w:rsidRPr="007419A7" w:rsidRDefault="00B73CCC" w:rsidP="007419A7">
      <w:pPr>
        <w:jc w:val="both"/>
        <w:rPr>
          <w:sz w:val="24"/>
          <w:szCs w:val="24"/>
        </w:rPr>
      </w:pPr>
      <w:r>
        <w:rPr>
          <w:sz w:val="24"/>
          <w:szCs w:val="24"/>
        </w:rPr>
        <w:t>Vinni Vallavalitsuse konsolideerivateks üksusteks on Vinni Spordikompleks ja Roela Soojus OÜ.</w:t>
      </w:r>
    </w:p>
    <w:p w:rsidR="000A0D42" w:rsidRDefault="000A0D42" w:rsidP="00860EDA">
      <w:pPr>
        <w:jc w:val="both"/>
        <w:rPr>
          <w:i/>
          <w:sz w:val="24"/>
          <w:szCs w:val="24"/>
        </w:rPr>
      </w:pPr>
    </w:p>
    <w:p w:rsidR="00954619" w:rsidRDefault="00954619">
      <w:r>
        <w:br w:type="page"/>
      </w:r>
    </w:p>
    <w:p w:rsidR="00CA6501" w:rsidRDefault="00CA6501" w:rsidP="00261F5C">
      <w:pPr>
        <w:pStyle w:val="Heading1"/>
        <w:numPr>
          <w:ilvl w:val="0"/>
          <w:numId w:val="2"/>
        </w:numPr>
      </w:pPr>
      <w:bookmarkStart w:id="7" w:name="_Toc529432879"/>
      <w:bookmarkStart w:id="8" w:name="_Toc22542298"/>
      <w:r>
        <w:lastRenderedPageBreak/>
        <w:t>E</w:t>
      </w:r>
      <w:r w:rsidRPr="00CA6501">
        <w:t>elarvestrateegia eelarveosad</w:t>
      </w:r>
      <w:bookmarkEnd w:id="7"/>
      <w:bookmarkEnd w:id="8"/>
      <w:r w:rsidRPr="00CA6501">
        <w:t xml:space="preserve"> </w:t>
      </w:r>
    </w:p>
    <w:p w:rsidR="00104A8E" w:rsidRPr="00CA6501" w:rsidRDefault="00104A8E" w:rsidP="00FA5C8A">
      <w:pPr>
        <w:pStyle w:val="Heading1"/>
        <w:numPr>
          <w:ilvl w:val="1"/>
          <w:numId w:val="2"/>
        </w:numPr>
      </w:pPr>
      <w:bookmarkStart w:id="9" w:name="_Toc529432880"/>
      <w:bookmarkStart w:id="10" w:name="_Toc22542299"/>
      <w:r>
        <w:t>Põhitegevuse tulud</w:t>
      </w:r>
      <w:bookmarkEnd w:id="9"/>
      <w:bookmarkEnd w:id="10"/>
    </w:p>
    <w:p w:rsidR="00DE7ECE" w:rsidRDefault="00DE7ECE" w:rsidP="00A27A28">
      <w:pPr>
        <w:jc w:val="both"/>
        <w:rPr>
          <w:sz w:val="24"/>
          <w:szCs w:val="24"/>
        </w:rPr>
      </w:pPr>
    </w:p>
    <w:p w:rsidR="003F5006" w:rsidRDefault="003F5006" w:rsidP="00A27A28">
      <w:pPr>
        <w:spacing w:line="276" w:lineRule="auto"/>
        <w:jc w:val="both"/>
        <w:rPr>
          <w:sz w:val="24"/>
          <w:szCs w:val="24"/>
          <w:lang w:val="et-EE"/>
        </w:rPr>
      </w:pPr>
      <w:r>
        <w:rPr>
          <w:sz w:val="24"/>
          <w:szCs w:val="24"/>
          <w:lang w:val="et-EE"/>
        </w:rPr>
        <w:t>Lähtuvalt KOFS-</w:t>
      </w:r>
      <w:proofErr w:type="spellStart"/>
      <w:r>
        <w:rPr>
          <w:sz w:val="24"/>
          <w:szCs w:val="24"/>
          <w:lang w:val="et-EE"/>
        </w:rPr>
        <w:t>est</w:t>
      </w:r>
      <w:proofErr w:type="spellEnd"/>
      <w:r>
        <w:rPr>
          <w:sz w:val="24"/>
          <w:szCs w:val="24"/>
          <w:lang w:val="et-EE"/>
        </w:rPr>
        <w:t xml:space="preserve"> jaotuvad põhitegevustulud neljaks: </w:t>
      </w:r>
    </w:p>
    <w:p w:rsidR="003F5006" w:rsidRDefault="003F5006" w:rsidP="003F5006">
      <w:pPr>
        <w:pStyle w:val="ListParagraph"/>
        <w:numPr>
          <w:ilvl w:val="0"/>
          <w:numId w:val="24"/>
        </w:numPr>
        <w:spacing w:line="276" w:lineRule="auto"/>
        <w:jc w:val="both"/>
        <w:rPr>
          <w:sz w:val="24"/>
          <w:szCs w:val="24"/>
          <w:lang w:val="et-EE"/>
        </w:rPr>
      </w:pPr>
      <w:r>
        <w:rPr>
          <w:sz w:val="24"/>
          <w:szCs w:val="24"/>
          <w:lang w:val="et-EE"/>
        </w:rPr>
        <w:t>maksutulud</w:t>
      </w:r>
    </w:p>
    <w:p w:rsidR="003F5006" w:rsidRDefault="003F5006" w:rsidP="003F5006">
      <w:pPr>
        <w:pStyle w:val="ListParagraph"/>
        <w:numPr>
          <w:ilvl w:val="0"/>
          <w:numId w:val="24"/>
        </w:numPr>
        <w:spacing w:line="276" w:lineRule="auto"/>
        <w:jc w:val="both"/>
        <w:rPr>
          <w:sz w:val="24"/>
          <w:szCs w:val="24"/>
          <w:lang w:val="et-EE"/>
        </w:rPr>
      </w:pPr>
      <w:r>
        <w:rPr>
          <w:sz w:val="24"/>
          <w:szCs w:val="24"/>
          <w:lang w:val="et-EE"/>
        </w:rPr>
        <w:t>tulud kaupade ja teenuste müügist</w:t>
      </w:r>
    </w:p>
    <w:p w:rsidR="003F5006" w:rsidRDefault="003F5006" w:rsidP="003F5006">
      <w:pPr>
        <w:pStyle w:val="ListParagraph"/>
        <w:numPr>
          <w:ilvl w:val="0"/>
          <w:numId w:val="24"/>
        </w:numPr>
        <w:spacing w:line="276" w:lineRule="auto"/>
        <w:jc w:val="both"/>
        <w:rPr>
          <w:sz w:val="24"/>
          <w:szCs w:val="24"/>
          <w:lang w:val="et-EE"/>
        </w:rPr>
      </w:pPr>
      <w:r>
        <w:rPr>
          <w:sz w:val="24"/>
          <w:szCs w:val="24"/>
          <w:lang w:val="et-EE"/>
        </w:rPr>
        <w:t>saadavad toetused</w:t>
      </w:r>
    </w:p>
    <w:p w:rsidR="003F5006" w:rsidRDefault="003F5006" w:rsidP="003F5006">
      <w:pPr>
        <w:pStyle w:val="ListParagraph"/>
        <w:numPr>
          <w:ilvl w:val="0"/>
          <w:numId w:val="24"/>
        </w:numPr>
        <w:spacing w:line="276" w:lineRule="auto"/>
        <w:jc w:val="both"/>
        <w:rPr>
          <w:sz w:val="24"/>
          <w:szCs w:val="24"/>
          <w:lang w:val="et-EE"/>
        </w:rPr>
      </w:pPr>
      <w:r>
        <w:rPr>
          <w:sz w:val="24"/>
          <w:szCs w:val="24"/>
          <w:lang w:val="et-EE"/>
        </w:rPr>
        <w:t>muud tegevuskulud.</w:t>
      </w:r>
    </w:p>
    <w:p w:rsidR="00F651E1" w:rsidRPr="003F5006" w:rsidRDefault="001905BA" w:rsidP="003F5006">
      <w:pPr>
        <w:spacing w:line="276" w:lineRule="auto"/>
        <w:jc w:val="both"/>
        <w:rPr>
          <w:sz w:val="24"/>
          <w:szCs w:val="24"/>
          <w:lang w:val="et-EE"/>
        </w:rPr>
      </w:pPr>
      <w:r>
        <w:rPr>
          <w:sz w:val="24"/>
          <w:szCs w:val="24"/>
          <w:lang w:val="et-EE"/>
        </w:rPr>
        <w:t xml:space="preserve">Omavalitsuse suurim tulu moodustub füüsilise isiku tulumaksust ja saadavatest toetustest. </w:t>
      </w:r>
    </w:p>
    <w:p w:rsidR="00F651E1" w:rsidRPr="001905BA" w:rsidRDefault="00F651E1" w:rsidP="00556FE8">
      <w:pPr>
        <w:rPr>
          <w:sz w:val="24"/>
          <w:szCs w:val="24"/>
          <w:lang w:val="et-EE"/>
        </w:rPr>
      </w:pPr>
    </w:p>
    <w:tbl>
      <w:tblPr>
        <w:tblW w:w="10187" w:type="dxa"/>
        <w:tblCellMar>
          <w:left w:w="70" w:type="dxa"/>
          <w:right w:w="70" w:type="dxa"/>
        </w:tblCellMar>
        <w:tblLook w:val="04A0" w:firstRow="1" w:lastRow="0" w:firstColumn="1" w:lastColumn="0" w:noHBand="0" w:noVBand="1"/>
      </w:tblPr>
      <w:tblGrid>
        <w:gridCol w:w="3960"/>
        <w:gridCol w:w="1207"/>
        <w:gridCol w:w="1295"/>
        <w:gridCol w:w="1295"/>
        <w:gridCol w:w="1253"/>
        <w:gridCol w:w="1177"/>
      </w:tblGrid>
      <w:tr w:rsidR="007B4415" w:rsidRPr="007B4415" w:rsidTr="001755F4">
        <w:trPr>
          <w:trHeight w:val="840"/>
        </w:trPr>
        <w:tc>
          <w:tcPr>
            <w:tcW w:w="3960" w:type="dxa"/>
            <w:tcBorders>
              <w:top w:val="single" w:sz="8" w:space="0" w:color="auto"/>
              <w:left w:val="single" w:sz="8" w:space="0" w:color="auto"/>
              <w:bottom w:val="single" w:sz="8" w:space="0" w:color="auto"/>
              <w:right w:val="single" w:sz="4" w:space="0" w:color="auto"/>
            </w:tcBorders>
            <w:shd w:val="clear" w:color="000000" w:fill="CCFFCC"/>
            <w:vAlign w:val="bottom"/>
            <w:hideMark/>
          </w:tcPr>
          <w:p w:rsidR="007B4415" w:rsidRPr="007B4415" w:rsidRDefault="007B4415" w:rsidP="007B4415">
            <w:pPr>
              <w:widowControl/>
              <w:autoSpaceDE/>
              <w:autoSpaceDN/>
              <w:jc w:val="center"/>
              <w:rPr>
                <w:rFonts w:ascii="Arial" w:hAnsi="Arial" w:cs="Arial"/>
                <w:b/>
                <w:bCs/>
                <w:sz w:val="20"/>
                <w:szCs w:val="20"/>
                <w:lang w:val="et-EE" w:eastAsia="et-EE"/>
              </w:rPr>
            </w:pPr>
            <w:r w:rsidRPr="007B4415">
              <w:rPr>
                <w:rFonts w:ascii="Arial" w:hAnsi="Arial" w:cs="Arial"/>
                <w:b/>
                <w:bCs/>
                <w:sz w:val="20"/>
                <w:szCs w:val="20"/>
                <w:lang w:val="et-EE" w:eastAsia="et-EE"/>
              </w:rPr>
              <w:t> </w:t>
            </w:r>
          </w:p>
        </w:tc>
        <w:tc>
          <w:tcPr>
            <w:tcW w:w="1207" w:type="dxa"/>
            <w:tcBorders>
              <w:top w:val="single" w:sz="8" w:space="0" w:color="auto"/>
              <w:left w:val="nil"/>
              <w:bottom w:val="single" w:sz="8" w:space="0" w:color="auto"/>
              <w:right w:val="single" w:sz="4" w:space="0" w:color="auto"/>
            </w:tcBorders>
            <w:shd w:val="clear" w:color="000000" w:fill="CCFFCC"/>
            <w:vAlign w:val="bottom"/>
            <w:hideMark/>
          </w:tcPr>
          <w:p w:rsidR="007B4415" w:rsidRPr="007B4415" w:rsidRDefault="007B4415" w:rsidP="007B4415">
            <w:pPr>
              <w:widowControl/>
              <w:autoSpaceDE/>
              <w:autoSpaceDN/>
              <w:jc w:val="center"/>
              <w:rPr>
                <w:rFonts w:ascii="Arial" w:hAnsi="Arial" w:cs="Arial"/>
                <w:b/>
                <w:bCs/>
                <w:sz w:val="20"/>
                <w:szCs w:val="20"/>
                <w:lang w:val="et-EE" w:eastAsia="et-EE"/>
              </w:rPr>
            </w:pPr>
            <w:r w:rsidRPr="007B4415">
              <w:rPr>
                <w:rFonts w:ascii="Arial" w:hAnsi="Arial" w:cs="Arial"/>
                <w:b/>
                <w:bCs/>
                <w:sz w:val="20"/>
                <w:szCs w:val="20"/>
                <w:lang w:val="et-EE" w:eastAsia="et-EE"/>
              </w:rPr>
              <w:t>2019 eeldatav täitmine</w:t>
            </w:r>
          </w:p>
        </w:tc>
        <w:tc>
          <w:tcPr>
            <w:tcW w:w="1295" w:type="dxa"/>
            <w:tcBorders>
              <w:top w:val="single" w:sz="8" w:space="0" w:color="auto"/>
              <w:left w:val="nil"/>
              <w:bottom w:val="single" w:sz="8" w:space="0" w:color="auto"/>
              <w:right w:val="single" w:sz="4" w:space="0" w:color="auto"/>
            </w:tcBorders>
            <w:shd w:val="clear" w:color="000000" w:fill="CCFFCC"/>
            <w:vAlign w:val="bottom"/>
            <w:hideMark/>
          </w:tcPr>
          <w:p w:rsidR="007B4415" w:rsidRPr="007B4415" w:rsidRDefault="007B4415" w:rsidP="007B4415">
            <w:pPr>
              <w:widowControl/>
              <w:autoSpaceDE/>
              <w:autoSpaceDN/>
              <w:jc w:val="center"/>
              <w:rPr>
                <w:rFonts w:ascii="Arial" w:hAnsi="Arial" w:cs="Arial"/>
                <w:b/>
                <w:bCs/>
                <w:sz w:val="20"/>
                <w:szCs w:val="20"/>
                <w:lang w:val="et-EE" w:eastAsia="et-EE"/>
              </w:rPr>
            </w:pPr>
            <w:r w:rsidRPr="007B4415">
              <w:rPr>
                <w:rFonts w:ascii="Arial" w:hAnsi="Arial" w:cs="Arial"/>
                <w:b/>
                <w:bCs/>
                <w:sz w:val="20"/>
                <w:szCs w:val="20"/>
                <w:lang w:val="et-EE" w:eastAsia="et-EE"/>
              </w:rPr>
              <w:t xml:space="preserve">2020 eelarve  </w:t>
            </w:r>
          </w:p>
        </w:tc>
        <w:tc>
          <w:tcPr>
            <w:tcW w:w="1295" w:type="dxa"/>
            <w:tcBorders>
              <w:top w:val="single" w:sz="8" w:space="0" w:color="auto"/>
              <w:left w:val="nil"/>
              <w:bottom w:val="single" w:sz="8" w:space="0" w:color="auto"/>
              <w:right w:val="single" w:sz="4" w:space="0" w:color="auto"/>
            </w:tcBorders>
            <w:shd w:val="clear" w:color="000000" w:fill="CCFFCC"/>
            <w:vAlign w:val="bottom"/>
            <w:hideMark/>
          </w:tcPr>
          <w:p w:rsidR="007B4415" w:rsidRPr="007B4415" w:rsidRDefault="007B4415" w:rsidP="007B4415">
            <w:pPr>
              <w:widowControl/>
              <w:autoSpaceDE/>
              <w:autoSpaceDN/>
              <w:jc w:val="center"/>
              <w:rPr>
                <w:rFonts w:ascii="Arial" w:hAnsi="Arial" w:cs="Arial"/>
                <w:b/>
                <w:bCs/>
                <w:sz w:val="20"/>
                <w:szCs w:val="20"/>
                <w:lang w:val="et-EE" w:eastAsia="et-EE"/>
              </w:rPr>
            </w:pPr>
            <w:r w:rsidRPr="007B4415">
              <w:rPr>
                <w:rFonts w:ascii="Arial" w:hAnsi="Arial" w:cs="Arial"/>
                <w:b/>
                <w:bCs/>
                <w:sz w:val="20"/>
                <w:szCs w:val="20"/>
                <w:lang w:val="et-EE" w:eastAsia="et-EE"/>
              </w:rPr>
              <w:t xml:space="preserve">2021 eelarve  </w:t>
            </w:r>
          </w:p>
        </w:tc>
        <w:tc>
          <w:tcPr>
            <w:tcW w:w="1253" w:type="dxa"/>
            <w:tcBorders>
              <w:top w:val="single" w:sz="8" w:space="0" w:color="auto"/>
              <w:left w:val="nil"/>
              <w:bottom w:val="single" w:sz="8" w:space="0" w:color="auto"/>
              <w:right w:val="single" w:sz="4" w:space="0" w:color="auto"/>
            </w:tcBorders>
            <w:shd w:val="clear" w:color="000000" w:fill="CCFFCC"/>
            <w:vAlign w:val="bottom"/>
            <w:hideMark/>
          </w:tcPr>
          <w:p w:rsidR="007B4415" w:rsidRPr="007B4415" w:rsidRDefault="007B4415" w:rsidP="007B4415">
            <w:pPr>
              <w:widowControl/>
              <w:autoSpaceDE/>
              <w:autoSpaceDN/>
              <w:jc w:val="center"/>
              <w:rPr>
                <w:rFonts w:ascii="Arial" w:hAnsi="Arial" w:cs="Arial"/>
                <w:b/>
                <w:bCs/>
                <w:sz w:val="20"/>
                <w:szCs w:val="20"/>
                <w:lang w:val="et-EE" w:eastAsia="et-EE"/>
              </w:rPr>
            </w:pPr>
            <w:r w:rsidRPr="007B4415">
              <w:rPr>
                <w:rFonts w:ascii="Arial" w:hAnsi="Arial" w:cs="Arial"/>
                <w:b/>
                <w:bCs/>
                <w:sz w:val="20"/>
                <w:szCs w:val="20"/>
                <w:lang w:val="et-EE" w:eastAsia="et-EE"/>
              </w:rPr>
              <w:t xml:space="preserve">2022 eelarve  </w:t>
            </w:r>
          </w:p>
        </w:tc>
        <w:tc>
          <w:tcPr>
            <w:tcW w:w="1177" w:type="dxa"/>
            <w:tcBorders>
              <w:top w:val="single" w:sz="8" w:space="0" w:color="auto"/>
              <w:left w:val="nil"/>
              <w:bottom w:val="single" w:sz="8" w:space="0" w:color="auto"/>
              <w:right w:val="single" w:sz="8" w:space="0" w:color="auto"/>
            </w:tcBorders>
            <w:shd w:val="clear" w:color="000000" w:fill="CCFFCC"/>
            <w:vAlign w:val="bottom"/>
            <w:hideMark/>
          </w:tcPr>
          <w:p w:rsidR="007B4415" w:rsidRPr="007B4415" w:rsidRDefault="007B4415" w:rsidP="007B4415">
            <w:pPr>
              <w:widowControl/>
              <w:autoSpaceDE/>
              <w:autoSpaceDN/>
              <w:jc w:val="center"/>
              <w:rPr>
                <w:rFonts w:ascii="Arial" w:hAnsi="Arial" w:cs="Arial"/>
                <w:b/>
                <w:bCs/>
                <w:sz w:val="20"/>
                <w:szCs w:val="20"/>
                <w:lang w:val="et-EE" w:eastAsia="et-EE"/>
              </w:rPr>
            </w:pPr>
            <w:r w:rsidRPr="007B4415">
              <w:rPr>
                <w:rFonts w:ascii="Arial" w:hAnsi="Arial" w:cs="Arial"/>
                <w:b/>
                <w:bCs/>
                <w:sz w:val="20"/>
                <w:szCs w:val="20"/>
                <w:lang w:val="et-EE" w:eastAsia="et-EE"/>
              </w:rPr>
              <w:t xml:space="preserve">2023 eelarve  </w:t>
            </w:r>
          </w:p>
        </w:tc>
      </w:tr>
      <w:tr w:rsidR="007C71B3" w:rsidRPr="007B4415" w:rsidTr="001755F4">
        <w:trPr>
          <w:trHeight w:val="229"/>
        </w:trPr>
        <w:tc>
          <w:tcPr>
            <w:tcW w:w="3960" w:type="dxa"/>
            <w:tcBorders>
              <w:top w:val="nil"/>
              <w:left w:val="single" w:sz="8" w:space="0" w:color="auto"/>
              <w:bottom w:val="single" w:sz="4" w:space="0" w:color="000000"/>
              <w:right w:val="single" w:sz="4" w:space="0" w:color="000000"/>
            </w:tcBorders>
            <w:shd w:val="clear" w:color="auto" w:fill="auto"/>
            <w:noWrap/>
            <w:vAlign w:val="bottom"/>
            <w:hideMark/>
          </w:tcPr>
          <w:p w:rsidR="007C71B3" w:rsidRPr="007B4415" w:rsidRDefault="007C71B3" w:rsidP="007C71B3">
            <w:pPr>
              <w:widowControl/>
              <w:autoSpaceDE/>
              <w:autoSpaceDN/>
              <w:rPr>
                <w:rFonts w:ascii="Arial" w:hAnsi="Arial" w:cs="Arial"/>
                <w:b/>
                <w:bCs/>
                <w:sz w:val="20"/>
                <w:szCs w:val="20"/>
                <w:lang w:val="et-EE" w:eastAsia="et-EE"/>
              </w:rPr>
            </w:pPr>
            <w:r w:rsidRPr="007B4415">
              <w:rPr>
                <w:rFonts w:ascii="Arial" w:hAnsi="Arial" w:cs="Arial"/>
                <w:b/>
                <w:bCs/>
                <w:sz w:val="20"/>
                <w:szCs w:val="20"/>
                <w:lang w:val="et-EE" w:eastAsia="et-EE"/>
              </w:rPr>
              <w:t>Põhitegevuse tulud kokku</w:t>
            </w:r>
          </w:p>
        </w:tc>
        <w:tc>
          <w:tcPr>
            <w:tcW w:w="1207" w:type="dxa"/>
            <w:tcBorders>
              <w:top w:val="nil"/>
              <w:left w:val="nil"/>
              <w:bottom w:val="single" w:sz="4" w:space="0" w:color="auto"/>
              <w:right w:val="single" w:sz="4" w:space="0" w:color="auto"/>
            </w:tcBorders>
            <w:shd w:val="clear" w:color="000000" w:fill="C0C0C0"/>
            <w:vAlign w:val="bottom"/>
            <w:hideMark/>
          </w:tcPr>
          <w:p w:rsidR="007C71B3" w:rsidRDefault="007C71B3" w:rsidP="007C71B3">
            <w:pPr>
              <w:jc w:val="right"/>
              <w:rPr>
                <w:rFonts w:ascii="Arial" w:hAnsi="Arial" w:cs="Arial"/>
                <w:sz w:val="20"/>
                <w:szCs w:val="20"/>
                <w:lang w:val="et-EE" w:eastAsia="et-EE"/>
              </w:rPr>
            </w:pPr>
            <w:r>
              <w:rPr>
                <w:rFonts w:ascii="Arial" w:hAnsi="Arial" w:cs="Arial"/>
                <w:sz w:val="20"/>
                <w:szCs w:val="20"/>
              </w:rPr>
              <w:t>5 750 779</w:t>
            </w:r>
          </w:p>
        </w:tc>
        <w:tc>
          <w:tcPr>
            <w:tcW w:w="1295" w:type="dxa"/>
            <w:tcBorders>
              <w:top w:val="nil"/>
              <w:left w:val="nil"/>
              <w:bottom w:val="single" w:sz="4" w:space="0" w:color="auto"/>
              <w:right w:val="single" w:sz="4" w:space="0" w:color="auto"/>
            </w:tcBorders>
            <w:shd w:val="clear" w:color="000000" w:fill="C0C0C0"/>
            <w:vAlign w:val="bottom"/>
            <w:hideMark/>
          </w:tcPr>
          <w:p w:rsidR="007C71B3" w:rsidRDefault="007C71B3" w:rsidP="007C71B3">
            <w:pPr>
              <w:jc w:val="right"/>
              <w:rPr>
                <w:rFonts w:ascii="Arial" w:hAnsi="Arial" w:cs="Arial"/>
                <w:sz w:val="20"/>
                <w:szCs w:val="20"/>
              </w:rPr>
            </w:pPr>
            <w:r>
              <w:rPr>
                <w:rFonts w:ascii="Arial" w:hAnsi="Arial" w:cs="Arial"/>
                <w:sz w:val="20"/>
                <w:szCs w:val="20"/>
              </w:rPr>
              <w:t>6 012 718</w:t>
            </w:r>
          </w:p>
        </w:tc>
        <w:tc>
          <w:tcPr>
            <w:tcW w:w="1295" w:type="dxa"/>
            <w:tcBorders>
              <w:top w:val="nil"/>
              <w:left w:val="nil"/>
              <w:bottom w:val="single" w:sz="4" w:space="0" w:color="auto"/>
              <w:right w:val="single" w:sz="4" w:space="0" w:color="auto"/>
            </w:tcBorders>
            <w:shd w:val="clear" w:color="000000" w:fill="C0C0C0"/>
            <w:vAlign w:val="bottom"/>
            <w:hideMark/>
          </w:tcPr>
          <w:p w:rsidR="007C71B3" w:rsidRDefault="007C71B3" w:rsidP="007C71B3">
            <w:pPr>
              <w:jc w:val="right"/>
              <w:rPr>
                <w:rFonts w:ascii="Arial" w:hAnsi="Arial" w:cs="Arial"/>
                <w:sz w:val="20"/>
                <w:szCs w:val="20"/>
              </w:rPr>
            </w:pPr>
            <w:r>
              <w:rPr>
                <w:rFonts w:ascii="Arial" w:hAnsi="Arial" w:cs="Arial"/>
                <w:sz w:val="20"/>
                <w:szCs w:val="20"/>
              </w:rPr>
              <w:t>6 232 747</w:t>
            </w:r>
          </w:p>
        </w:tc>
        <w:tc>
          <w:tcPr>
            <w:tcW w:w="1253" w:type="dxa"/>
            <w:tcBorders>
              <w:top w:val="nil"/>
              <w:left w:val="nil"/>
              <w:bottom w:val="single" w:sz="4" w:space="0" w:color="auto"/>
              <w:right w:val="single" w:sz="4" w:space="0" w:color="auto"/>
            </w:tcBorders>
            <w:shd w:val="clear" w:color="000000" w:fill="C0C0C0"/>
            <w:vAlign w:val="bottom"/>
            <w:hideMark/>
          </w:tcPr>
          <w:p w:rsidR="007C71B3" w:rsidRDefault="007C71B3" w:rsidP="007C71B3">
            <w:pPr>
              <w:jc w:val="right"/>
              <w:rPr>
                <w:rFonts w:ascii="Arial" w:hAnsi="Arial" w:cs="Arial"/>
                <w:sz w:val="20"/>
                <w:szCs w:val="20"/>
              </w:rPr>
            </w:pPr>
            <w:r>
              <w:rPr>
                <w:rFonts w:ascii="Arial" w:hAnsi="Arial" w:cs="Arial"/>
                <w:sz w:val="20"/>
                <w:szCs w:val="20"/>
              </w:rPr>
              <w:t>6 461 577</w:t>
            </w:r>
          </w:p>
        </w:tc>
        <w:tc>
          <w:tcPr>
            <w:tcW w:w="1177" w:type="dxa"/>
            <w:tcBorders>
              <w:top w:val="nil"/>
              <w:left w:val="nil"/>
              <w:bottom w:val="single" w:sz="4" w:space="0" w:color="auto"/>
              <w:right w:val="single" w:sz="8" w:space="0" w:color="auto"/>
            </w:tcBorders>
            <w:shd w:val="clear" w:color="000000" w:fill="C0C0C0"/>
            <w:vAlign w:val="bottom"/>
            <w:hideMark/>
          </w:tcPr>
          <w:p w:rsidR="007C71B3" w:rsidRDefault="007C71B3" w:rsidP="007C71B3">
            <w:pPr>
              <w:jc w:val="right"/>
              <w:rPr>
                <w:rFonts w:ascii="Arial" w:hAnsi="Arial" w:cs="Arial"/>
                <w:sz w:val="20"/>
                <w:szCs w:val="20"/>
              </w:rPr>
            </w:pPr>
            <w:r>
              <w:rPr>
                <w:rFonts w:ascii="Arial" w:hAnsi="Arial" w:cs="Arial"/>
                <w:sz w:val="20"/>
                <w:szCs w:val="20"/>
              </w:rPr>
              <w:t>6 699 560</w:t>
            </w:r>
          </w:p>
        </w:tc>
      </w:tr>
      <w:tr w:rsidR="007C71B3" w:rsidRPr="007B4415" w:rsidTr="007C71B3">
        <w:trPr>
          <w:trHeight w:val="194"/>
        </w:trPr>
        <w:tc>
          <w:tcPr>
            <w:tcW w:w="3960" w:type="dxa"/>
            <w:tcBorders>
              <w:top w:val="nil"/>
              <w:left w:val="single" w:sz="8" w:space="0" w:color="auto"/>
              <w:bottom w:val="single" w:sz="4" w:space="0" w:color="000000"/>
              <w:right w:val="single" w:sz="4" w:space="0" w:color="000000"/>
            </w:tcBorders>
            <w:shd w:val="clear" w:color="auto" w:fill="auto"/>
            <w:noWrap/>
            <w:vAlign w:val="bottom"/>
            <w:hideMark/>
          </w:tcPr>
          <w:p w:rsidR="007C71B3" w:rsidRPr="007B4415" w:rsidRDefault="007C71B3" w:rsidP="007C71B3">
            <w:pPr>
              <w:widowControl/>
              <w:autoSpaceDE/>
              <w:autoSpaceDN/>
              <w:rPr>
                <w:rFonts w:ascii="Arial" w:hAnsi="Arial" w:cs="Arial"/>
                <w:sz w:val="16"/>
                <w:szCs w:val="16"/>
                <w:lang w:val="et-EE" w:eastAsia="et-EE"/>
              </w:rPr>
            </w:pPr>
            <w:r w:rsidRPr="007B4415">
              <w:rPr>
                <w:rFonts w:ascii="Arial" w:hAnsi="Arial" w:cs="Arial"/>
                <w:sz w:val="16"/>
                <w:szCs w:val="16"/>
                <w:lang w:val="et-EE" w:eastAsia="et-EE"/>
              </w:rPr>
              <w:t xml:space="preserve">     Maksutulud</w:t>
            </w:r>
          </w:p>
        </w:tc>
        <w:tc>
          <w:tcPr>
            <w:tcW w:w="1207" w:type="dxa"/>
            <w:tcBorders>
              <w:top w:val="nil"/>
              <w:left w:val="nil"/>
              <w:bottom w:val="single" w:sz="4" w:space="0" w:color="auto"/>
              <w:right w:val="single" w:sz="4" w:space="0" w:color="auto"/>
            </w:tcBorders>
            <w:shd w:val="clear" w:color="auto" w:fill="969696"/>
            <w:vAlign w:val="bottom"/>
            <w:hideMark/>
          </w:tcPr>
          <w:p w:rsidR="007C71B3" w:rsidRDefault="007C71B3" w:rsidP="007C71B3">
            <w:pPr>
              <w:jc w:val="right"/>
              <w:rPr>
                <w:rFonts w:ascii="Arial" w:hAnsi="Arial" w:cs="Arial"/>
                <w:sz w:val="20"/>
                <w:szCs w:val="20"/>
              </w:rPr>
            </w:pPr>
            <w:r>
              <w:rPr>
                <w:rFonts w:ascii="Arial" w:hAnsi="Arial" w:cs="Arial"/>
                <w:sz w:val="20"/>
                <w:szCs w:val="20"/>
              </w:rPr>
              <w:t>5 238 779</w:t>
            </w:r>
          </w:p>
        </w:tc>
        <w:tc>
          <w:tcPr>
            <w:tcW w:w="1295" w:type="dxa"/>
            <w:tcBorders>
              <w:top w:val="nil"/>
              <w:left w:val="nil"/>
              <w:bottom w:val="single" w:sz="4" w:space="0" w:color="auto"/>
              <w:right w:val="single" w:sz="4" w:space="0" w:color="auto"/>
            </w:tcBorders>
            <w:shd w:val="clear" w:color="auto" w:fill="auto"/>
            <w:vAlign w:val="bottom"/>
            <w:hideMark/>
          </w:tcPr>
          <w:p w:rsidR="007C71B3" w:rsidRDefault="007C71B3" w:rsidP="007C71B3">
            <w:pPr>
              <w:jc w:val="right"/>
              <w:rPr>
                <w:rFonts w:ascii="Arial" w:hAnsi="Arial" w:cs="Arial"/>
                <w:sz w:val="20"/>
                <w:szCs w:val="20"/>
              </w:rPr>
            </w:pPr>
            <w:r>
              <w:rPr>
                <w:rFonts w:ascii="Arial" w:hAnsi="Arial" w:cs="Arial"/>
                <w:sz w:val="20"/>
                <w:szCs w:val="20"/>
              </w:rPr>
              <w:t>5 500 718</w:t>
            </w:r>
          </w:p>
        </w:tc>
        <w:tc>
          <w:tcPr>
            <w:tcW w:w="1295" w:type="dxa"/>
            <w:tcBorders>
              <w:top w:val="nil"/>
              <w:left w:val="nil"/>
              <w:bottom w:val="single" w:sz="4" w:space="0" w:color="auto"/>
              <w:right w:val="single" w:sz="4" w:space="0" w:color="auto"/>
            </w:tcBorders>
            <w:shd w:val="clear" w:color="auto" w:fill="auto"/>
            <w:vAlign w:val="bottom"/>
            <w:hideMark/>
          </w:tcPr>
          <w:p w:rsidR="007C71B3" w:rsidRDefault="007C71B3" w:rsidP="007C71B3">
            <w:pPr>
              <w:jc w:val="right"/>
              <w:rPr>
                <w:rFonts w:ascii="Arial" w:hAnsi="Arial" w:cs="Arial"/>
                <w:sz w:val="20"/>
                <w:szCs w:val="20"/>
              </w:rPr>
            </w:pPr>
            <w:r>
              <w:rPr>
                <w:rFonts w:ascii="Arial" w:hAnsi="Arial" w:cs="Arial"/>
                <w:sz w:val="20"/>
                <w:szCs w:val="20"/>
              </w:rPr>
              <w:t>5 720 747</w:t>
            </w:r>
          </w:p>
        </w:tc>
        <w:tc>
          <w:tcPr>
            <w:tcW w:w="1253" w:type="dxa"/>
            <w:tcBorders>
              <w:top w:val="nil"/>
              <w:left w:val="nil"/>
              <w:bottom w:val="single" w:sz="4" w:space="0" w:color="auto"/>
              <w:right w:val="single" w:sz="4" w:space="0" w:color="auto"/>
            </w:tcBorders>
            <w:shd w:val="clear" w:color="auto" w:fill="auto"/>
            <w:vAlign w:val="bottom"/>
            <w:hideMark/>
          </w:tcPr>
          <w:p w:rsidR="007C71B3" w:rsidRDefault="007C71B3" w:rsidP="007C71B3">
            <w:pPr>
              <w:jc w:val="right"/>
              <w:rPr>
                <w:rFonts w:ascii="Arial" w:hAnsi="Arial" w:cs="Arial"/>
                <w:sz w:val="20"/>
                <w:szCs w:val="20"/>
              </w:rPr>
            </w:pPr>
            <w:r>
              <w:rPr>
                <w:rFonts w:ascii="Arial" w:hAnsi="Arial" w:cs="Arial"/>
                <w:sz w:val="20"/>
                <w:szCs w:val="20"/>
              </w:rPr>
              <w:t>5 949 577</w:t>
            </w:r>
          </w:p>
        </w:tc>
        <w:tc>
          <w:tcPr>
            <w:tcW w:w="1177" w:type="dxa"/>
            <w:tcBorders>
              <w:top w:val="nil"/>
              <w:left w:val="nil"/>
              <w:bottom w:val="single" w:sz="4" w:space="0" w:color="auto"/>
              <w:right w:val="single" w:sz="8" w:space="0" w:color="auto"/>
            </w:tcBorders>
            <w:shd w:val="clear" w:color="auto" w:fill="auto"/>
            <w:vAlign w:val="bottom"/>
            <w:hideMark/>
          </w:tcPr>
          <w:p w:rsidR="007C71B3" w:rsidRDefault="007C71B3" w:rsidP="007C71B3">
            <w:pPr>
              <w:jc w:val="right"/>
              <w:rPr>
                <w:rFonts w:ascii="Arial" w:hAnsi="Arial" w:cs="Arial"/>
                <w:sz w:val="20"/>
                <w:szCs w:val="20"/>
              </w:rPr>
            </w:pPr>
            <w:r>
              <w:rPr>
                <w:rFonts w:ascii="Arial" w:hAnsi="Arial" w:cs="Arial"/>
                <w:sz w:val="20"/>
                <w:szCs w:val="20"/>
              </w:rPr>
              <w:t>6 187 560</w:t>
            </w:r>
          </w:p>
        </w:tc>
      </w:tr>
      <w:tr w:rsidR="007C71B3" w:rsidRPr="007B4415" w:rsidTr="001755F4">
        <w:trPr>
          <w:trHeight w:val="194"/>
        </w:trPr>
        <w:tc>
          <w:tcPr>
            <w:tcW w:w="3960" w:type="dxa"/>
            <w:tcBorders>
              <w:top w:val="nil"/>
              <w:left w:val="single" w:sz="8" w:space="0" w:color="auto"/>
              <w:bottom w:val="single" w:sz="4" w:space="0" w:color="000000"/>
              <w:right w:val="single" w:sz="4" w:space="0" w:color="000000"/>
            </w:tcBorders>
            <w:shd w:val="clear" w:color="auto" w:fill="auto"/>
            <w:noWrap/>
            <w:vAlign w:val="bottom"/>
            <w:hideMark/>
          </w:tcPr>
          <w:p w:rsidR="007C71B3" w:rsidRPr="007B4415" w:rsidRDefault="007C71B3" w:rsidP="007C71B3">
            <w:pPr>
              <w:widowControl/>
              <w:autoSpaceDE/>
              <w:autoSpaceDN/>
              <w:rPr>
                <w:rFonts w:ascii="Arial" w:hAnsi="Arial" w:cs="Arial"/>
                <w:sz w:val="16"/>
                <w:szCs w:val="16"/>
                <w:lang w:val="et-EE" w:eastAsia="et-EE"/>
              </w:rPr>
            </w:pPr>
            <w:r w:rsidRPr="007B4415">
              <w:rPr>
                <w:rFonts w:ascii="Arial" w:hAnsi="Arial" w:cs="Arial"/>
                <w:sz w:val="16"/>
                <w:szCs w:val="16"/>
                <w:lang w:val="et-EE" w:eastAsia="et-EE"/>
              </w:rPr>
              <w:t xml:space="preserve">          sh tulumaks</w:t>
            </w:r>
          </w:p>
        </w:tc>
        <w:tc>
          <w:tcPr>
            <w:tcW w:w="1207" w:type="dxa"/>
            <w:tcBorders>
              <w:top w:val="nil"/>
              <w:left w:val="single" w:sz="4" w:space="0" w:color="auto"/>
              <w:bottom w:val="single" w:sz="4" w:space="0" w:color="auto"/>
              <w:right w:val="nil"/>
            </w:tcBorders>
            <w:shd w:val="clear" w:color="000000" w:fill="969696"/>
            <w:vAlign w:val="bottom"/>
            <w:hideMark/>
          </w:tcPr>
          <w:p w:rsidR="007C71B3" w:rsidRDefault="007C71B3" w:rsidP="007C71B3">
            <w:pPr>
              <w:jc w:val="right"/>
              <w:rPr>
                <w:rFonts w:ascii="Arial" w:hAnsi="Arial" w:cs="Arial"/>
                <w:sz w:val="20"/>
                <w:szCs w:val="20"/>
              </w:rPr>
            </w:pPr>
            <w:r>
              <w:rPr>
                <w:rFonts w:ascii="Arial" w:hAnsi="Arial" w:cs="Arial"/>
                <w:sz w:val="20"/>
                <w:szCs w:val="20"/>
              </w:rPr>
              <w:t>512 000</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512 000</w:t>
            </w:r>
          </w:p>
        </w:tc>
        <w:tc>
          <w:tcPr>
            <w:tcW w:w="1295" w:type="dxa"/>
            <w:tcBorders>
              <w:top w:val="nil"/>
              <w:left w:val="nil"/>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512 000</w:t>
            </w:r>
          </w:p>
        </w:tc>
        <w:tc>
          <w:tcPr>
            <w:tcW w:w="1253" w:type="dxa"/>
            <w:tcBorders>
              <w:top w:val="nil"/>
              <w:left w:val="nil"/>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512 000</w:t>
            </w:r>
          </w:p>
        </w:tc>
        <w:tc>
          <w:tcPr>
            <w:tcW w:w="1177" w:type="dxa"/>
            <w:tcBorders>
              <w:top w:val="nil"/>
              <w:left w:val="nil"/>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512 000</w:t>
            </w:r>
          </w:p>
        </w:tc>
      </w:tr>
      <w:tr w:rsidR="007C71B3" w:rsidRPr="007B4415" w:rsidTr="001755F4">
        <w:trPr>
          <w:trHeight w:val="194"/>
        </w:trPr>
        <w:tc>
          <w:tcPr>
            <w:tcW w:w="3960" w:type="dxa"/>
            <w:tcBorders>
              <w:top w:val="nil"/>
              <w:left w:val="single" w:sz="8" w:space="0" w:color="auto"/>
              <w:bottom w:val="single" w:sz="4" w:space="0" w:color="000000"/>
              <w:right w:val="single" w:sz="4" w:space="0" w:color="000000"/>
            </w:tcBorders>
            <w:shd w:val="clear" w:color="auto" w:fill="auto"/>
            <w:noWrap/>
            <w:vAlign w:val="bottom"/>
            <w:hideMark/>
          </w:tcPr>
          <w:p w:rsidR="007C71B3" w:rsidRPr="007B4415" w:rsidRDefault="007C71B3" w:rsidP="007C71B3">
            <w:pPr>
              <w:widowControl/>
              <w:autoSpaceDE/>
              <w:autoSpaceDN/>
              <w:rPr>
                <w:rFonts w:ascii="Arial" w:hAnsi="Arial" w:cs="Arial"/>
                <w:sz w:val="16"/>
                <w:szCs w:val="16"/>
                <w:lang w:val="et-EE" w:eastAsia="et-EE"/>
              </w:rPr>
            </w:pPr>
            <w:r w:rsidRPr="007B4415">
              <w:rPr>
                <w:rFonts w:ascii="Arial" w:hAnsi="Arial" w:cs="Arial"/>
                <w:sz w:val="16"/>
                <w:szCs w:val="16"/>
                <w:lang w:val="et-EE" w:eastAsia="et-EE"/>
              </w:rPr>
              <w:t xml:space="preserve">          sh maamaks</w:t>
            </w:r>
          </w:p>
        </w:tc>
        <w:tc>
          <w:tcPr>
            <w:tcW w:w="1207" w:type="dxa"/>
            <w:tcBorders>
              <w:top w:val="nil"/>
              <w:left w:val="single" w:sz="4" w:space="0" w:color="auto"/>
              <w:bottom w:val="single" w:sz="4" w:space="0" w:color="auto"/>
              <w:right w:val="nil"/>
            </w:tcBorders>
            <w:shd w:val="clear" w:color="000000" w:fill="969696"/>
            <w:vAlign w:val="bottom"/>
            <w:hideMark/>
          </w:tcPr>
          <w:p w:rsidR="007C71B3" w:rsidRDefault="007C71B3" w:rsidP="007C71B3">
            <w:pPr>
              <w:jc w:val="right"/>
              <w:rPr>
                <w:rFonts w:ascii="Arial" w:hAnsi="Arial" w:cs="Arial"/>
                <w:sz w:val="20"/>
                <w:szCs w:val="20"/>
              </w:rPr>
            </w:pPr>
            <w:r>
              <w:rPr>
                <w:rFonts w:ascii="Arial" w:hAnsi="Arial" w:cs="Arial"/>
                <w:sz w:val="20"/>
                <w:szCs w:val="20"/>
              </w:rPr>
              <w:t>0</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0</w:t>
            </w:r>
          </w:p>
        </w:tc>
        <w:tc>
          <w:tcPr>
            <w:tcW w:w="1295" w:type="dxa"/>
            <w:tcBorders>
              <w:top w:val="nil"/>
              <w:left w:val="nil"/>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0</w:t>
            </w:r>
          </w:p>
        </w:tc>
        <w:tc>
          <w:tcPr>
            <w:tcW w:w="1253" w:type="dxa"/>
            <w:tcBorders>
              <w:top w:val="nil"/>
              <w:left w:val="nil"/>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0</w:t>
            </w:r>
          </w:p>
        </w:tc>
        <w:tc>
          <w:tcPr>
            <w:tcW w:w="1177" w:type="dxa"/>
            <w:tcBorders>
              <w:top w:val="nil"/>
              <w:left w:val="nil"/>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0</w:t>
            </w:r>
          </w:p>
        </w:tc>
      </w:tr>
      <w:tr w:rsidR="007C71B3" w:rsidRPr="007B4415" w:rsidTr="007C71B3">
        <w:trPr>
          <w:trHeight w:val="194"/>
        </w:trPr>
        <w:tc>
          <w:tcPr>
            <w:tcW w:w="3960" w:type="dxa"/>
            <w:tcBorders>
              <w:top w:val="nil"/>
              <w:left w:val="single" w:sz="8" w:space="0" w:color="auto"/>
              <w:bottom w:val="single" w:sz="4" w:space="0" w:color="000000"/>
              <w:right w:val="single" w:sz="4" w:space="0" w:color="000000"/>
            </w:tcBorders>
            <w:shd w:val="clear" w:color="auto" w:fill="auto"/>
            <w:noWrap/>
            <w:vAlign w:val="bottom"/>
            <w:hideMark/>
          </w:tcPr>
          <w:p w:rsidR="007C71B3" w:rsidRPr="007B4415" w:rsidRDefault="007C71B3" w:rsidP="007C71B3">
            <w:pPr>
              <w:widowControl/>
              <w:autoSpaceDE/>
              <w:autoSpaceDN/>
              <w:rPr>
                <w:rFonts w:ascii="Arial" w:hAnsi="Arial" w:cs="Arial"/>
                <w:sz w:val="16"/>
                <w:szCs w:val="16"/>
                <w:lang w:val="et-EE" w:eastAsia="et-EE"/>
              </w:rPr>
            </w:pPr>
            <w:r w:rsidRPr="007B4415">
              <w:rPr>
                <w:rFonts w:ascii="Arial" w:hAnsi="Arial" w:cs="Arial"/>
                <w:sz w:val="16"/>
                <w:szCs w:val="16"/>
                <w:lang w:val="et-EE" w:eastAsia="et-EE"/>
              </w:rPr>
              <w:t xml:space="preserve">          sh muud maksutulud</w:t>
            </w:r>
          </w:p>
        </w:tc>
        <w:tc>
          <w:tcPr>
            <w:tcW w:w="1207" w:type="dxa"/>
            <w:tcBorders>
              <w:top w:val="nil"/>
              <w:left w:val="single" w:sz="4" w:space="0" w:color="auto"/>
              <w:bottom w:val="single" w:sz="4" w:space="0" w:color="auto"/>
              <w:right w:val="nil"/>
            </w:tcBorders>
            <w:shd w:val="clear" w:color="auto" w:fill="969696"/>
            <w:vAlign w:val="bottom"/>
            <w:hideMark/>
          </w:tcPr>
          <w:p w:rsidR="007C71B3" w:rsidRDefault="007C71B3" w:rsidP="007C71B3">
            <w:pPr>
              <w:jc w:val="right"/>
              <w:rPr>
                <w:rFonts w:ascii="Arial" w:hAnsi="Arial" w:cs="Arial"/>
                <w:sz w:val="20"/>
                <w:szCs w:val="20"/>
              </w:rPr>
            </w:pPr>
            <w:r>
              <w:rPr>
                <w:rFonts w:ascii="Arial" w:hAnsi="Arial" w:cs="Arial"/>
                <w:sz w:val="20"/>
                <w:szCs w:val="20"/>
              </w:rPr>
              <w:t>1 250 580</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1 322 021</w:t>
            </w:r>
          </w:p>
        </w:tc>
        <w:tc>
          <w:tcPr>
            <w:tcW w:w="1295" w:type="dxa"/>
            <w:tcBorders>
              <w:top w:val="nil"/>
              <w:left w:val="nil"/>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1 368 292</w:t>
            </w:r>
          </w:p>
        </w:tc>
        <w:tc>
          <w:tcPr>
            <w:tcW w:w="1253" w:type="dxa"/>
            <w:tcBorders>
              <w:top w:val="nil"/>
              <w:left w:val="nil"/>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1 416 182</w:t>
            </w:r>
          </w:p>
        </w:tc>
        <w:tc>
          <w:tcPr>
            <w:tcW w:w="1177" w:type="dxa"/>
            <w:tcBorders>
              <w:top w:val="nil"/>
              <w:left w:val="nil"/>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1 465 748</w:t>
            </w:r>
          </w:p>
        </w:tc>
      </w:tr>
      <w:tr w:rsidR="007C71B3" w:rsidRPr="007B4415" w:rsidTr="007C71B3">
        <w:trPr>
          <w:trHeight w:val="194"/>
        </w:trPr>
        <w:tc>
          <w:tcPr>
            <w:tcW w:w="3960" w:type="dxa"/>
            <w:tcBorders>
              <w:top w:val="nil"/>
              <w:left w:val="single" w:sz="8" w:space="0" w:color="auto"/>
              <w:bottom w:val="single" w:sz="4" w:space="0" w:color="000000"/>
              <w:right w:val="single" w:sz="4" w:space="0" w:color="000000"/>
            </w:tcBorders>
            <w:shd w:val="clear" w:color="auto" w:fill="auto"/>
            <w:noWrap/>
            <w:vAlign w:val="bottom"/>
            <w:hideMark/>
          </w:tcPr>
          <w:p w:rsidR="007C71B3" w:rsidRPr="007B4415" w:rsidRDefault="007C71B3" w:rsidP="007C71B3">
            <w:pPr>
              <w:widowControl/>
              <w:autoSpaceDE/>
              <w:autoSpaceDN/>
              <w:rPr>
                <w:rFonts w:ascii="Arial" w:hAnsi="Arial" w:cs="Arial"/>
                <w:sz w:val="16"/>
                <w:szCs w:val="16"/>
                <w:lang w:val="et-EE" w:eastAsia="et-EE"/>
              </w:rPr>
            </w:pPr>
            <w:r w:rsidRPr="007B4415">
              <w:rPr>
                <w:rFonts w:ascii="Arial" w:hAnsi="Arial" w:cs="Arial"/>
                <w:sz w:val="16"/>
                <w:szCs w:val="16"/>
                <w:lang w:val="et-EE" w:eastAsia="et-EE"/>
              </w:rPr>
              <w:t xml:space="preserve">    Tulud kaupade ja teenuste müügist</w:t>
            </w:r>
          </w:p>
        </w:tc>
        <w:tc>
          <w:tcPr>
            <w:tcW w:w="1207" w:type="dxa"/>
            <w:tcBorders>
              <w:top w:val="nil"/>
              <w:left w:val="single" w:sz="4" w:space="0" w:color="auto"/>
              <w:bottom w:val="single" w:sz="4" w:space="0" w:color="auto"/>
              <w:right w:val="nil"/>
            </w:tcBorders>
            <w:shd w:val="clear" w:color="auto" w:fill="C0C0C0"/>
            <w:vAlign w:val="bottom"/>
            <w:hideMark/>
          </w:tcPr>
          <w:p w:rsidR="007C71B3" w:rsidRDefault="007C71B3" w:rsidP="007C71B3">
            <w:pPr>
              <w:jc w:val="right"/>
              <w:rPr>
                <w:rFonts w:ascii="Arial" w:hAnsi="Arial" w:cs="Arial"/>
                <w:sz w:val="20"/>
                <w:szCs w:val="20"/>
              </w:rPr>
            </w:pPr>
            <w:r>
              <w:rPr>
                <w:rFonts w:ascii="Arial" w:hAnsi="Arial" w:cs="Arial"/>
                <w:sz w:val="20"/>
                <w:szCs w:val="20"/>
              </w:rPr>
              <w:t>4 074 971</w:t>
            </w:r>
          </w:p>
        </w:tc>
        <w:tc>
          <w:tcPr>
            <w:tcW w:w="1295" w:type="dxa"/>
            <w:tcBorders>
              <w:top w:val="nil"/>
              <w:left w:val="single" w:sz="4" w:space="0" w:color="auto"/>
              <w:bottom w:val="single" w:sz="4" w:space="0" w:color="auto"/>
              <w:right w:val="single" w:sz="4" w:space="0" w:color="auto"/>
            </w:tcBorders>
            <w:shd w:val="clear" w:color="auto" w:fill="C0C0C0"/>
            <w:noWrap/>
            <w:vAlign w:val="bottom"/>
            <w:hideMark/>
          </w:tcPr>
          <w:p w:rsidR="007C71B3" w:rsidRDefault="007C71B3" w:rsidP="007C71B3">
            <w:pPr>
              <w:jc w:val="right"/>
              <w:rPr>
                <w:rFonts w:ascii="Arial" w:hAnsi="Arial" w:cs="Arial"/>
                <w:sz w:val="20"/>
                <w:szCs w:val="20"/>
              </w:rPr>
            </w:pPr>
            <w:r>
              <w:rPr>
                <w:rFonts w:ascii="Arial" w:hAnsi="Arial" w:cs="Arial"/>
                <w:sz w:val="20"/>
                <w:szCs w:val="20"/>
              </w:rPr>
              <w:t>4 452 519</w:t>
            </w:r>
          </w:p>
        </w:tc>
        <w:tc>
          <w:tcPr>
            <w:tcW w:w="1295" w:type="dxa"/>
            <w:tcBorders>
              <w:top w:val="nil"/>
              <w:left w:val="nil"/>
              <w:bottom w:val="single" w:sz="4" w:space="0" w:color="auto"/>
              <w:right w:val="single" w:sz="4" w:space="0" w:color="auto"/>
            </w:tcBorders>
            <w:shd w:val="clear" w:color="auto" w:fill="C0C0C0"/>
            <w:noWrap/>
            <w:vAlign w:val="bottom"/>
            <w:hideMark/>
          </w:tcPr>
          <w:p w:rsidR="007C71B3" w:rsidRDefault="007C71B3" w:rsidP="007C71B3">
            <w:pPr>
              <w:jc w:val="right"/>
              <w:rPr>
                <w:rFonts w:ascii="Arial" w:hAnsi="Arial" w:cs="Arial"/>
                <w:sz w:val="20"/>
                <w:szCs w:val="20"/>
              </w:rPr>
            </w:pPr>
            <w:r>
              <w:rPr>
                <w:rFonts w:ascii="Arial" w:hAnsi="Arial" w:cs="Arial"/>
                <w:sz w:val="20"/>
                <w:szCs w:val="20"/>
              </w:rPr>
              <w:t>4 593 573</w:t>
            </w:r>
          </w:p>
        </w:tc>
        <w:tc>
          <w:tcPr>
            <w:tcW w:w="1253" w:type="dxa"/>
            <w:tcBorders>
              <w:top w:val="nil"/>
              <w:left w:val="nil"/>
              <w:bottom w:val="single" w:sz="4" w:space="0" w:color="auto"/>
              <w:right w:val="single" w:sz="4" w:space="0" w:color="auto"/>
            </w:tcBorders>
            <w:shd w:val="clear" w:color="auto" w:fill="C0C0C0"/>
            <w:noWrap/>
            <w:vAlign w:val="bottom"/>
            <w:hideMark/>
          </w:tcPr>
          <w:p w:rsidR="007C71B3" w:rsidRDefault="007C71B3" w:rsidP="007C71B3">
            <w:pPr>
              <w:jc w:val="right"/>
              <w:rPr>
                <w:rFonts w:ascii="Arial" w:hAnsi="Arial" w:cs="Arial"/>
                <w:sz w:val="20"/>
                <w:szCs w:val="20"/>
              </w:rPr>
            </w:pPr>
            <w:r>
              <w:rPr>
                <w:rFonts w:ascii="Arial" w:hAnsi="Arial" w:cs="Arial"/>
                <w:sz w:val="20"/>
                <w:szCs w:val="20"/>
              </w:rPr>
              <w:t>4 739 888</w:t>
            </w:r>
          </w:p>
        </w:tc>
        <w:tc>
          <w:tcPr>
            <w:tcW w:w="1177" w:type="dxa"/>
            <w:tcBorders>
              <w:top w:val="nil"/>
              <w:left w:val="nil"/>
              <w:bottom w:val="single" w:sz="4" w:space="0" w:color="auto"/>
              <w:right w:val="single" w:sz="4" w:space="0" w:color="auto"/>
            </w:tcBorders>
            <w:shd w:val="clear" w:color="auto" w:fill="C0C0C0"/>
            <w:noWrap/>
            <w:vAlign w:val="bottom"/>
            <w:hideMark/>
          </w:tcPr>
          <w:p w:rsidR="007C71B3" w:rsidRDefault="007C71B3" w:rsidP="007C71B3">
            <w:pPr>
              <w:jc w:val="right"/>
              <w:rPr>
                <w:rFonts w:ascii="Arial" w:hAnsi="Arial" w:cs="Arial"/>
                <w:sz w:val="20"/>
                <w:szCs w:val="20"/>
              </w:rPr>
            </w:pPr>
            <w:r>
              <w:rPr>
                <w:rFonts w:ascii="Arial" w:hAnsi="Arial" w:cs="Arial"/>
                <w:sz w:val="20"/>
                <w:szCs w:val="20"/>
              </w:rPr>
              <w:t>4 891 668</w:t>
            </w:r>
          </w:p>
        </w:tc>
      </w:tr>
      <w:tr w:rsidR="007C71B3" w:rsidRPr="007B4415" w:rsidTr="007C71B3">
        <w:trPr>
          <w:trHeight w:val="194"/>
        </w:trPr>
        <w:tc>
          <w:tcPr>
            <w:tcW w:w="3960" w:type="dxa"/>
            <w:tcBorders>
              <w:top w:val="nil"/>
              <w:left w:val="single" w:sz="8" w:space="0" w:color="auto"/>
              <w:bottom w:val="single" w:sz="4" w:space="0" w:color="000000"/>
              <w:right w:val="single" w:sz="4" w:space="0" w:color="000000"/>
            </w:tcBorders>
            <w:shd w:val="clear" w:color="auto" w:fill="auto"/>
            <w:noWrap/>
            <w:vAlign w:val="bottom"/>
            <w:hideMark/>
          </w:tcPr>
          <w:p w:rsidR="007C71B3" w:rsidRPr="007B4415" w:rsidRDefault="007C71B3" w:rsidP="007C71B3">
            <w:pPr>
              <w:widowControl/>
              <w:autoSpaceDE/>
              <w:autoSpaceDN/>
              <w:rPr>
                <w:rFonts w:ascii="Arial" w:hAnsi="Arial" w:cs="Arial"/>
                <w:sz w:val="16"/>
                <w:szCs w:val="16"/>
                <w:lang w:val="et-EE" w:eastAsia="et-EE"/>
              </w:rPr>
            </w:pPr>
            <w:r w:rsidRPr="007B4415">
              <w:rPr>
                <w:rFonts w:ascii="Arial" w:hAnsi="Arial" w:cs="Arial"/>
                <w:sz w:val="16"/>
                <w:szCs w:val="16"/>
                <w:lang w:val="et-EE" w:eastAsia="et-EE"/>
              </w:rPr>
              <w:t xml:space="preserve">    Saadavad toetused tegevuskuludeks</w:t>
            </w:r>
          </w:p>
        </w:tc>
        <w:tc>
          <w:tcPr>
            <w:tcW w:w="1207" w:type="dxa"/>
            <w:tcBorders>
              <w:top w:val="nil"/>
              <w:left w:val="single" w:sz="4" w:space="0" w:color="auto"/>
              <w:bottom w:val="single" w:sz="4" w:space="0" w:color="auto"/>
              <w:right w:val="single" w:sz="4" w:space="0" w:color="auto"/>
            </w:tcBorders>
            <w:shd w:val="clear" w:color="auto" w:fill="969696"/>
            <w:vAlign w:val="bottom"/>
            <w:hideMark/>
          </w:tcPr>
          <w:p w:rsidR="007C71B3" w:rsidRDefault="007C71B3" w:rsidP="007C71B3">
            <w:pPr>
              <w:jc w:val="right"/>
              <w:rPr>
                <w:rFonts w:ascii="Arial" w:hAnsi="Arial" w:cs="Arial"/>
                <w:sz w:val="20"/>
                <w:szCs w:val="20"/>
              </w:rPr>
            </w:pPr>
            <w:r>
              <w:rPr>
                <w:rFonts w:ascii="Arial" w:hAnsi="Arial" w:cs="Arial"/>
                <w:sz w:val="20"/>
                <w:szCs w:val="20"/>
              </w:rPr>
              <w:t>933 202</w:t>
            </w:r>
          </w:p>
        </w:tc>
        <w:tc>
          <w:tcPr>
            <w:tcW w:w="1295" w:type="dxa"/>
            <w:tcBorders>
              <w:top w:val="nil"/>
              <w:left w:val="nil"/>
              <w:bottom w:val="single" w:sz="4" w:space="0" w:color="auto"/>
              <w:right w:val="single" w:sz="4" w:space="0" w:color="auto"/>
            </w:tcBorders>
            <w:shd w:val="clear" w:color="auto" w:fill="auto"/>
            <w:vAlign w:val="bottom"/>
            <w:hideMark/>
          </w:tcPr>
          <w:p w:rsidR="007C71B3" w:rsidRDefault="007C71B3" w:rsidP="007C71B3">
            <w:pPr>
              <w:jc w:val="right"/>
              <w:rPr>
                <w:rFonts w:ascii="Arial" w:hAnsi="Arial" w:cs="Arial"/>
                <w:sz w:val="20"/>
                <w:szCs w:val="20"/>
              </w:rPr>
            </w:pPr>
            <w:r>
              <w:rPr>
                <w:rFonts w:ascii="Arial" w:hAnsi="Arial" w:cs="Arial"/>
                <w:sz w:val="20"/>
                <w:szCs w:val="20"/>
              </w:rPr>
              <w:t>951 857</w:t>
            </w:r>
          </w:p>
        </w:tc>
        <w:tc>
          <w:tcPr>
            <w:tcW w:w="1295" w:type="dxa"/>
            <w:tcBorders>
              <w:top w:val="nil"/>
              <w:left w:val="nil"/>
              <w:bottom w:val="single" w:sz="4" w:space="0" w:color="auto"/>
              <w:right w:val="single" w:sz="4" w:space="0" w:color="auto"/>
            </w:tcBorders>
            <w:shd w:val="clear" w:color="auto" w:fill="auto"/>
            <w:vAlign w:val="bottom"/>
            <w:hideMark/>
          </w:tcPr>
          <w:p w:rsidR="007C71B3" w:rsidRDefault="007C71B3" w:rsidP="007C71B3">
            <w:pPr>
              <w:jc w:val="right"/>
              <w:rPr>
                <w:rFonts w:ascii="Arial" w:hAnsi="Arial" w:cs="Arial"/>
                <w:sz w:val="20"/>
                <w:szCs w:val="20"/>
              </w:rPr>
            </w:pPr>
            <w:r>
              <w:rPr>
                <w:rFonts w:ascii="Arial" w:hAnsi="Arial" w:cs="Arial"/>
                <w:sz w:val="20"/>
                <w:szCs w:val="20"/>
              </w:rPr>
              <w:t>970 884</w:t>
            </w:r>
          </w:p>
        </w:tc>
        <w:tc>
          <w:tcPr>
            <w:tcW w:w="1253" w:type="dxa"/>
            <w:tcBorders>
              <w:top w:val="nil"/>
              <w:left w:val="nil"/>
              <w:bottom w:val="single" w:sz="4" w:space="0" w:color="auto"/>
              <w:right w:val="single" w:sz="4" w:space="0" w:color="auto"/>
            </w:tcBorders>
            <w:shd w:val="clear" w:color="auto" w:fill="auto"/>
            <w:vAlign w:val="bottom"/>
            <w:hideMark/>
          </w:tcPr>
          <w:p w:rsidR="007C71B3" w:rsidRDefault="007C71B3" w:rsidP="007C71B3">
            <w:pPr>
              <w:jc w:val="right"/>
              <w:rPr>
                <w:rFonts w:ascii="Arial" w:hAnsi="Arial" w:cs="Arial"/>
                <w:sz w:val="20"/>
                <w:szCs w:val="20"/>
              </w:rPr>
            </w:pPr>
            <w:r>
              <w:rPr>
                <w:rFonts w:ascii="Arial" w:hAnsi="Arial" w:cs="Arial"/>
                <w:sz w:val="20"/>
                <w:szCs w:val="20"/>
              </w:rPr>
              <w:t>990 292</w:t>
            </w:r>
          </w:p>
        </w:tc>
        <w:tc>
          <w:tcPr>
            <w:tcW w:w="1177" w:type="dxa"/>
            <w:tcBorders>
              <w:top w:val="nil"/>
              <w:left w:val="nil"/>
              <w:bottom w:val="single" w:sz="4" w:space="0" w:color="auto"/>
              <w:right w:val="single" w:sz="8" w:space="0" w:color="auto"/>
            </w:tcBorders>
            <w:shd w:val="clear" w:color="auto" w:fill="auto"/>
            <w:vAlign w:val="bottom"/>
            <w:hideMark/>
          </w:tcPr>
          <w:p w:rsidR="007C71B3" w:rsidRDefault="007C71B3" w:rsidP="007C71B3">
            <w:pPr>
              <w:jc w:val="right"/>
              <w:rPr>
                <w:rFonts w:ascii="Arial" w:hAnsi="Arial" w:cs="Arial"/>
                <w:sz w:val="20"/>
                <w:szCs w:val="20"/>
              </w:rPr>
            </w:pPr>
            <w:r>
              <w:rPr>
                <w:rFonts w:ascii="Arial" w:hAnsi="Arial" w:cs="Arial"/>
                <w:sz w:val="20"/>
                <w:szCs w:val="20"/>
              </w:rPr>
              <w:t>1 010 088</w:t>
            </w:r>
          </w:p>
        </w:tc>
      </w:tr>
      <w:tr w:rsidR="007C71B3" w:rsidRPr="007B4415" w:rsidTr="001755F4">
        <w:trPr>
          <w:trHeight w:val="194"/>
        </w:trPr>
        <w:tc>
          <w:tcPr>
            <w:tcW w:w="3960" w:type="dxa"/>
            <w:tcBorders>
              <w:top w:val="nil"/>
              <w:left w:val="single" w:sz="8" w:space="0" w:color="auto"/>
              <w:bottom w:val="single" w:sz="4" w:space="0" w:color="000000"/>
              <w:right w:val="single" w:sz="4" w:space="0" w:color="000000"/>
            </w:tcBorders>
            <w:shd w:val="clear" w:color="auto" w:fill="auto"/>
            <w:noWrap/>
            <w:vAlign w:val="bottom"/>
            <w:hideMark/>
          </w:tcPr>
          <w:p w:rsidR="007C71B3" w:rsidRPr="007B4415" w:rsidRDefault="007C71B3" w:rsidP="007C71B3">
            <w:pPr>
              <w:widowControl/>
              <w:autoSpaceDE/>
              <w:autoSpaceDN/>
              <w:rPr>
                <w:rFonts w:ascii="Arial" w:hAnsi="Arial" w:cs="Arial"/>
                <w:sz w:val="16"/>
                <w:szCs w:val="16"/>
                <w:lang w:val="et-EE" w:eastAsia="et-EE"/>
              </w:rPr>
            </w:pPr>
            <w:r w:rsidRPr="007B4415">
              <w:rPr>
                <w:rFonts w:ascii="Arial" w:hAnsi="Arial" w:cs="Arial"/>
                <w:sz w:val="16"/>
                <w:szCs w:val="16"/>
                <w:lang w:val="et-EE" w:eastAsia="et-EE"/>
              </w:rPr>
              <w:t xml:space="preserve">         sh  tasandusfond </w:t>
            </w:r>
          </w:p>
        </w:tc>
        <w:tc>
          <w:tcPr>
            <w:tcW w:w="1207" w:type="dxa"/>
            <w:tcBorders>
              <w:top w:val="nil"/>
              <w:left w:val="single" w:sz="4" w:space="0" w:color="auto"/>
              <w:bottom w:val="single" w:sz="4" w:space="0" w:color="auto"/>
              <w:right w:val="nil"/>
            </w:tcBorders>
            <w:shd w:val="clear" w:color="000000" w:fill="969696"/>
            <w:vAlign w:val="bottom"/>
            <w:hideMark/>
          </w:tcPr>
          <w:p w:rsidR="007C71B3" w:rsidRDefault="007C71B3" w:rsidP="007C71B3">
            <w:pPr>
              <w:jc w:val="right"/>
              <w:rPr>
                <w:rFonts w:ascii="Arial" w:hAnsi="Arial" w:cs="Arial"/>
                <w:sz w:val="20"/>
                <w:szCs w:val="20"/>
              </w:rPr>
            </w:pPr>
            <w:r>
              <w:rPr>
                <w:rFonts w:ascii="Arial" w:hAnsi="Arial" w:cs="Arial"/>
                <w:sz w:val="20"/>
                <w:szCs w:val="20"/>
              </w:rPr>
              <w:t>2 951 189</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3 050 662</w:t>
            </w:r>
          </w:p>
        </w:tc>
        <w:tc>
          <w:tcPr>
            <w:tcW w:w="1295" w:type="dxa"/>
            <w:tcBorders>
              <w:top w:val="nil"/>
              <w:left w:val="nil"/>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3 172 689</w:t>
            </w:r>
          </w:p>
        </w:tc>
        <w:tc>
          <w:tcPr>
            <w:tcW w:w="1253" w:type="dxa"/>
            <w:tcBorders>
              <w:top w:val="nil"/>
              <w:left w:val="nil"/>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3 299 596</w:t>
            </w:r>
          </w:p>
        </w:tc>
        <w:tc>
          <w:tcPr>
            <w:tcW w:w="1177" w:type="dxa"/>
            <w:tcBorders>
              <w:top w:val="nil"/>
              <w:left w:val="nil"/>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3 431 580</w:t>
            </w:r>
          </w:p>
        </w:tc>
      </w:tr>
      <w:tr w:rsidR="007C71B3" w:rsidRPr="007B4415" w:rsidTr="001755F4">
        <w:trPr>
          <w:trHeight w:val="194"/>
        </w:trPr>
        <w:tc>
          <w:tcPr>
            <w:tcW w:w="3960" w:type="dxa"/>
            <w:tcBorders>
              <w:top w:val="nil"/>
              <w:left w:val="single" w:sz="8" w:space="0" w:color="auto"/>
              <w:bottom w:val="single" w:sz="4" w:space="0" w:color="000000"/>
              <w:right w:val="single" w:sz="4" w:space="0" w:color="000000"/>
            </w:tcBorders>
            <w:shd w:val="clear" w:color="auto" w:fill="auto"/>
            <w:noWrap/>
            <w:vAlign w:val="bottom"/>
            <w:hideMark/>
          </w:tcPr>
          <w:p w:rsidR="007C71B3" w:rsidRPr="007B4415" w:rsidRDefault="007C71B3" w:rsidP="007C71B3">
            <w:pPr>
              <w:widowControl/>
              <w:autoSpaceDE/>
              <w:autoSpaceDN/>
              <w:rPr>
                <w:rFonts w:ascii="Arial" w:hAnsi="Arial" w:cs="Arial"/>
                <w:sz w:val="16"/>
                <w:szCs w:val="16"/>
                <w:lang w:val="et-EE" w:eastAsia="et-EE"/>
              </w:rPr>
            </w:pPr>
            <w:r w:rsidRPr="007B4415">
              <w:rPr>
                <w:rFonts w:ascii="Arial" w:hAnsi="Arial" w:cs="Arial"/>
                <w:sz w:val="16"/>
                <w:szCs w:val="16"/>
                <w:lang w:val="et-EE" w:eastAsia="et-EE"/>
              </w:rPr>
              <w:t xml:space="preserve">         sh  toetusfond</w:t>
            </w:r>
          </w:p>
        </w:tc>
        <w:tc>
          <w:tcPr>
            <w:tcW w:w="1207" w:type="dxa"/>
            <w:tcBorders>
              <w:top w:val="nil"/>
              <w:left w:val="single" w:sz="4" w:space="0" w:color="auto"/>
              <w:bottom w:val="single" w:sz="4" w:space="0" w:color="auto"/>
              <w:right w:val="nil"/>
            </w:tcBorders>
            <w:shd w:val="clear" w:color="000000" w:fill="969696"/>
            <w:vAlign w:val="bottom"/>
            <w:hideMark/>
          </w:tcPr>
          <w:p w:rsidR="007C71B3" w:rsidRDefault="007C71B3" w:rsidP="007C71B3">
            <w:pPr>
              <w:jc w:val="right"/>
              <w:rPr>
                <w:rFonts w:ascii="Arial" w:hAnsi="Arial" w:cs="Arial"/>
                <w:sz w:val="20"/>
                <w:szCs w:val="20"/>
              </w:rPr>
            </w:pPr>
            <w:r>
              <w:rPr>
                <w:rFonts w:ascii="Arial" w:hAnsi="Arial" w:cs="Arial"/>
                <w:sz w:val="20"/>
                <w:szCs w:val="20"/>
              </w:rPr>
              <w:t>190 580</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450 000</w:t>
            </w:r>
          </w:p>
        </w:tc>
        <w:tc>
          <w:tcPr>
            <w:tcW w:w="1295" w:type="dxa"/>
            <w:tcBorders>
              <w:top w:val="nil"/>
              <w:left w:val="nil"/>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450 000</w:t>
            </w:r>
          </w:p>
        </w:tc>
        <w:tc>
          <w:tcPr>
            <w:tcW w:w="1253" w:type="dxa"/>
            <w:tcBorders>
              <w:top w:val="nil"/>
              <w:left w:val="nil"/>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450 000</w:t>
            </w:r>
          </w:p>
        </w:tc>
        <w:tc>
          <w:tcPr>
            <w:tcW w:w="1177" w:type="dxa"/>
            <w:tcBorders>
              <w:top w:val="nil"/>
              <w:left w:val="nil"/>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450 000</w:t>
            </w:r>
          </w:p>
        </w:tc>
      </w:tr>
      <w:tr w:rsidR="007C71B3" w:rsidRPr="007B4415" w:rsidTr="001755F4">
        <w:trPr>
          <w:trHeight w:val="194"/>
        </w:trPr>
        <w:tc>
          <w:tcPr>
            <w:tcW w:w="3960" w:type="dxa"/>
            <w:tcBorders>
              <w:top w:val="nil"/>
              <w:left w:val="single" w:sz="8" w:space="0" w:color="auto"/>
              <w:bottom w:val="single" w:sz="4" w:space="0" w:color="000000"/>
              <w:right w:val="single" w:sz="4" w:space="0" w:color="000000"/>
            </w:tcBorders>
            <w:shd w:val="clear" w:color="auto" w:fill="auto"/>
            <w:noWrap/>
            <w:vAlign w:val="bottom"/>
            <w:hideMark/>
          </w:tcPr>
          <w:p w:rsidR="007C71B3" w:rsidRPr="007B4415" w:rsidRDefault="007C71B3" w:rsidP="007C71B3">
            <w:pPr>
              <w:widowControl/>
              <w:autoSpaceDE/>
              <w:autoSpaceDN/>
              <w:rPr>
                <w:rFonts w:ascii="Arial" w:hAnsi="Arial" w:cs="Arial"/>
                <w:sz w:val="16"/>
                <w:szCs w:val="16"/>
                <w:lang w:val="et-EE" w:eastAsia="et-EE"/>
              </w:rPr>
            </w:pPr>
            <w:r w:rsidRPr="007B4415">
              <w:rPr>
                <w:rFonts w:ascii="Arial" w:hAnsi="Arial" w:cs="Arial"/>
                <w:sz w:val="16"/>
                <w:szCs w:val="16"/>
                <w:lang w:val="et-EE" w:eastAsia="et-EE"/>
              </w:rPr>
              <w:t xml:space="preserve">         sh muud saadud toetused tegevuskuludeks</w:t>
            </w:r>
          </w:p>
        </w:tc>
        <w:tc>
          <w:tcPr>
            <w:tcW w:w="1207" w:type="dxa"/>
            <w:tcBorders>
              <w:top w:val="nil"/>
              <w:left w:val="single" w:sz="4" w:space="0" w:color="auto"/>
              <w:bottom w:val="single" w:sz="4" w:space="0" w:color="auto"/>
              <w:right w:val="nil"/>
            </w:tcBorders>
            <w:shd w:val="clear" w:color="000000" w:fill="969696"/>
            <w:vAlign w:val="bottom"/>
            <w:hideMark/>
          </w:tcPr>
          <w:p w:rsidR="007C71B3" w:rsidRDefault="007C71B3" w:rsidP="007C71B3">
            <w:pPr>
              <w:jc w:val="right"/>
              <w:rPr>
                <w:rFonts w:ascii="Arial" w:hAnsi="Arial" w:cs="Arial"/>
                <w:sz w:val="20"/>
                <w:szCs w:val="20"/>
              </w:rPr>
            </w:pPr>
            <w:r>
              <w:rPr>
                <w:rFonts w:ascii="Arial" w:hAnsi="Arial" w:cs="Arial"/>
                <w:sz w:val="20"/>
                <w:szCs w:val="20"/>
              </w:rPr>
              <w:t>87 502</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100 600</w:t>
            </w:r>
          </w:p>
        </w:tc>
        <w:tc>
          <w:tcPr>
            <w:tcW w:w="1295" w:type="dxa"/>
            <w:tcBorders>
              <w:top w:val="nil"/>
              <w:left w:val="nil"/>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100 600</w:t>
            </w:r>
          </w:p>
        </w:tc>
        <w:tc>
          <w:tcPr>
            <w:tcW w:w="1253" w:type="dxa"/>
            <w:tcBorders>
              <w:top w:val="nil"/>
              <w:left w:val="nil"/>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100 600</w:t>
            </w:r>
          </w:p>
        </w:tc>
        <w:tc>
          <w:tcPr>
            <w:tcW w:w="1177" w:type="dxa"/>
            <w:tcBorders>
              <w:top w:val="nil"/>
              <w:left w:val="nil"/>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100 600</w:t>
            </w:r>
          </w:p>
        </w:tc>
      </w:tr>
      <w:tr w:rsidR="007C71B3" w:rsidRPr="007B4415" w:rsidTr="001755F4">
        <w:trPr>
          <w:trHeight w:val="194"/>
        </w:trPr>
        <w:tc>
          <w:tcPr>
            <w:tcW w:w="3960" w:type="dxa"/>
            <w:tcBorders>
              <w:top w:val="nil"/>
              <w:left w:val="single" w:sz="8" w:space="0" w:color="auto"/>
              <w:bottom w:val="single" w:sz="4" w:space="0" w:color="000000"/>
              <w:right w:val="single" w:sz="4" w:space="0" w:color="000000"/>
            </w:tcBorders>
            <w:shd w:val="clear" w:color="auto" w:fill="auto"/>
            <w:noWrap/>
            <w:vAlign w:val="bottom"/>
            <w:hideMark/>
          </w:tcPr>
          <w:p w:rsidR="007C71B3" w:rsidRPr="007B4415" w:rsidRDefault="007C71B3" w:rsidP="007C71B3">
            <w:pPr>
              <w:widowControl/>
              <w:autoSpaceDE/>
              <w:autoSpaceDN/>
              <w:rPr>
                <w:rFonts w:ascii="Arial" w:hAnsi="Arial" w:cs="Arial"/>
                <w:sz w:val="16"/>
                <w:szCs w:val="16"/>
                <w:lang w:val="et-EE" w:eastAsia="et-EE"/>
              </w:rPr>
            </w:pPr>
            <w:r w:rsidRPr="007B4415">
              <w:rPr>
                <w:rFonts w:ascii="Arial" w:hAnsi="Arial" w:cs="Arial"/>
                <w:sz w:val="16"/>
                <w:szCs w:val="16"/>
                <w:lang w:val="et-EE" w:eastAsia="et-EE"/>
              </w:rPr>
              <w:t xml:space="preserve">     Muud tegevustulud</w:t>
            </w:r>
          </w:p>
        </w:tc>
        <w:tc>
          <w:tcPr>
            <w:tcW w:w="1207" w:type="dxa"/>
            <w:tcBorders>
              <w:top w:val="nil"/>
              <w:left w:val="single" w:sz="4" w:space="0" w:color="auto"/>
              <w:bottom w:val="single" w:sz="4" w:space="0" w:color="auto"/>
              <w:right w:val="nil"/>
            </w:tcBorders>
            <w:shd w:val="clear" w:color="000000" w:fill="969696"/>
            <w:vAlign w:val="bottom"/>
            <w:hideMark/>
          </w:tcPr>
          <w:p w:rsidR="007C71B3" w:rsidRDefault="007C71B3" w:rsidP="007C71B3">
            <w:pPr>
              <w:jc w:val="right"/>
              <w:rPr>
                <w:rFonts w:ascii="Arial" w:hAnsi="Arial" w:cs="Arial"/>
                <w:sz w:val="20"/>
                <w:szCs w:val="20"/>
                <w:lang w:val="et-EE" w:eastAsia="et-EE"/>
              </w:rPr>
            </w:pPr>
            <w:r>
              <w:rPr>
                <w:rFonts w:ascii="Arial" w:hAnsi="Arial" w:cs="Arial"/>
                <w:sz w:val="20"/>
                <w:szCs w:val="20"/>
              </w:rPr>
              <w:t>5 750 779</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6 012 718</w:t>
            </w:r>
          </w:p>
        </w:tc>
        <w:tc>
          <w:tcPr>
            <w:tcW w:w="1295" w:type="dxa"/>
            <w:tcBorders>
              <w:top w:val="nil"/>
              <w:left w:val="nil"/>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6 232 747</w:t>
            </w:r>
          </w:p>
        </w:tc>
        <w:tc>
          <w:tcPr>
            <w:tcW w:w="1253" w:type="dxa"/>
            <w:tcBorders>
              <w:top w:val="nil"/>
              <w:left w:val="nil"/>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6 461 577</w:t>
            </w:r>
          </w:p>
        </w:tc>
        <w:tc>
          <w:tcPr>
            <w:tcW w:w="1177" w:type="dxa"/>
            <w:tcBorders>
              <w:top w:val="nil"/>
              <w:left w:val="nil"/>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6 699 560</w:t>
            </w:r>
          </w:p>
        </w:tc>
      </w:tr>
    </w:tbl>
    <w:p w:rsidR="007D3A0F" w:rsidRDefault="007D3A0F" w:rsidP="00E45E62">
      <w:pPr>
        <w:spacing w:line="276" w:lineRule="auto"/>
        <w:jc w:val="both"/>
        <w:rPr>
          <w:lang w:val="et-EE"/>
        </w:rPr>
      </w:pPr>
    </w:p>
    <w:p w:rsidR="007D3A0F" w:rsidRPr="00460178" w:rsidRDefault="00417DD5" w:rsidP="00A27A28">
      <w:pPr>
        <w:spacing w:line="276" w:lineRule="auto"/>
        <w:rPr>
          <w:sz w:val="24"/>
          <w:szCs w:val="24"/>
          <w:lang w:val="et-EE"/>
        </w:rPr>
      </w:pPr>
      <w:r>
        <w:rPr>
          <w:sz w:val="24"/>
          <w:szCs w:val="24"/>
          <w:lang w:val="et-EE"/>
        </w:rPr>
        <w:t>Järgnevaks eelarvestrateegia perioodiks 2020-2023 on p</w:t>
      </w:r>
      <w:r w:rsidR="001905BA">
        <w:rPr>
          <w:sz w:val="24"/>
          <w:szCs w:val="24"/>
          <w:lang w:val="et-EE"/>
        </w:rPr>
        <w:t>õhitegevuse tulude planeerimisel lähtutud</w:t>
      </w:r>
      <w:r>
        <w:rPr>
          <w:sz w:val="24"/>
          <w:szCs w:val="24"/>
          <w:lang w:val="et-EE"/>
        </w:rPr>
        <w:t>:</w:t>
      </w:r>
    </w:p>
    <w:p w:rsidR="007D3A0F" w:rsidRDefault="00417DD5" w:rsidP="00417DD5">
      <w:pPr>
        <w:pStyle w:val="ListParagraph"/>
        <w:numPr>
          <w:ilvl w:val="0"/>
          <w:numId w:val="25"/>
        </w:numPr>
        <w:spacing w:line="276" w:lineRule="auto"/>
        <w:jc w:val="both"/>
        <w:rPr>
          <w:sz w:val="24"/>
          <w:szCs w:val="24"/>
          <w:lang w:val="et-EE"/>
        </w:rPr>
      </w:pPr>
      <w:r w:rsidRPr="00417DD5">
        <w:rPr>
          <w:sz w:val="24"/>
          <w:szCs w:val="24"/>
          <w:lang w:val="et-EE"/>
        </w:rPr>
        <w:t xml:space="preserve">tulumaksu laekumise kasvuks </w:t>
      </w:r>
      <w:r w:rsidR="0037487F">
        <w:rPr>
          <w:sz w:val="24"/>
          <w:szCs w:val="24"/>
          <w:lang w:val="et-EE"/>
        </w:rPr>
        <w:t>2020. a</w:t>
      </w:r>
      <w:r w:rsidR="00BB762F">
        <w:rPr>
          <w:sz w:val="24"/>
          <w:szCs w:val="24"/>
          <w:lang w:val="et-EE"/>
        </w:rPr>
        <w:t xml:space="preserve"> on </w:t>
      </w:r>
      <w:r w:rsidR="00AD15CD">
        <w:rPr>
          <w:sz w:val="24"/>
          <w:szCs w:val="24"/>
          <w:lang w:val="et-EE"/>
        </w:rPr>
        <w:t>5</w:t>
      </w:r>
      <w:r w:rsidRPr="00417DD5">
        <w:rPr>
          <w:sz w:val="24"/>
          <w:szCs w:val="24"/>
          <w:lang w:val="et-EE"/>
        </w:rPr>
        <w:t xml:space="preserve">%, mis on võrreldes Rahandusministeeriumi </w:t>
      </w:r>
      <w:r w:rsidR="001C30B9">
        <w:rPr>
          <w:sz w:val="24"/>
          <w:szCs w:val="24"/>
          <w:lang w:val="et-EE"/>
        </w:rPr>
        <w:t xml:space="preserve">suvisest majandusprognoosist 0,6% suurem. </w:t>
      </w:r>
      <w:r w:rsidR="00BB762F">
        <w:rPr>
          <w:sz w:val="24"/>
          <w:szCs w:val="24"/>
          <w:lang w:val="et-EE"/>
        </w:rPr>
        <w:t>Perioodiks 202</w:t>
      </w:r>
      <w:r w:rsidR="00C77EE0">
        <w:rPr>
          <w:sz w:val="24"/>
          <w:szCs w:val="24"/>
          <w:lang w:val="et-EE"/>
        </w:rPr>
        <w:t>1</w:t>
      </w:r>
      <w:r w:rsidR="00BB762F">
        <w:rPr>
          <w:sz w:val="24"/>
          <w:szCs w:val="24"/>
          <w:lang w:val="et-EE"/>
        </w:rPr>
        <w:t xml:space="preserve">-2023. a on laekumise kasvu prognoosiks 4%. </w:t>
      </w:r>
      <w:r w:rsidR="001C30B9">
        <w:rPr>
          <w:sz w:val="24"/>
          <w:szCs w:val="24"/>
          <w:lang w:val="et-EE"/>
        </w:rPr>
        <w:t>2020. aastal tõstetakse kohalikule omavalitsusele füüsilise isiku tulumaksu laekumine 11,96%’le, mis 2019. aastal on 11,93%</w:t>
      </w:r>
      <w:r w:rsidRPr="00417DD5">
        <w:rPr>
          <w:sz w:val="24"/>
          <w:szCs w:val="24"/>
          <w:lang w:val="et-EE"/>
        </w:rPr>
        <w:t>.</w:t>
      </w:r>
      <w:r w:rsidR="008A60A6">
        <w:rPr>
          <w:sz w:val="24"/>
          <w:szCs w:val="24"/>
          <w:lang w:val="et-EE"/>
        </w:rPr>
        <w:t xml:space="preserve"> 2019. aasta füüsilise isiku tulumaksu laekumise prognoosi muudetud vastavalt ühe kuu keskmise laekumise põhiselt.</w:t>
      </w:r>
    </w:p>
    <w:p w:rsidR="00417DD5" w:rsidRDefault="00417DD5" w:rsidP="00417DD5">
      <w:pPr>
        <w:pStyle w:val="ListParagraph"/>
        <w:numPr>
          <w:ilvl w:val="0"/>
          <w:numId w:val="25"/>
        </w:numPr>
        <w:spacing w:line="276" w:lineRule="auto"/>
        <w:jc w:val="both"/>
        <w:rPr>
          <w:sz w:val="24"/>
          <w:szCs w:val="24"/>
          <w:lang w:val="et-EE"/>
        </w:rPr>
      </w:pPr>
      <w:r>
        <w:rPr>
          <w:sz w:val="24"/>
          <w:szCs w:val="24"/>
          <w:lang w:val="et-EE"/>
        </w:rPr>
        <w:t>maamaksu laekumistes muudatusi ei ole ehk vastavalt volikogu otsusele on Vinni valla maksumääraks kehtestatud 2,5%.</w:t>
      </w:r>
    </w:p>
    <w:p w:rsidR="00417DD5" w:rsidRDefault="00417DD5" w:rsidP="00417DD5">
      <w:pPr>
        <w:pStyle w:val="ListParagraph"/>
        <w:numPr>
          <w:ilvl w:val="0"/>
          <w:numId w:val="25"/>
        </w:numPr>
        <w:spacing w:line="276" w:lineRule="auto"/>
        <w:jc w:val="both"/>
        <w:rPr>
          <w:sz w:val="24"/>
          <w:szCs w:val="24"/>
          <w:lang w:val="et-EE"/>
        </w:rPr>
      </w:pPr>
      <w:r>
        <w:rPr>
          <w:sz w:val="24"/>
          <w:szCs w:val="24"/>
          <w:lang w:val="et-EE"/>
        </w:rPr>
        <w:t>kaupade, teenuste müüg</w:t>
      </w:r>
      <w:r w:rsidR="00C77EE0">
        <w:rPr>
          <w:sz w:val="24"/>
          <w:szCs w:val="24"/>
          <w:lang w:val="et-EE"/>
        </w:rPr>
        <w:t>ist saadava tulu suurenemist 5,7</w:t>
      </w:r>
      <w:r w:rsidR="00BB762F">
        <w:rPr>
          <w:sz w:val="24"/>
          <w:szCs w:val="24"/>
          <w:lang w:val="et-EE"/>
        </w:rPr>
        <w:t>2% perioodiks 2020. a ning antud prognoosi aluseks on 2020.a  eelarve planeering. 2021-2023. a tulude suurenemise planeering on 3,50%.</w:t>
      </w:r>
      <w:r w:rsidR="00C77EE0">
        <w:rPr>
          <w:sz w:val="24"/>
          <w:szCs w:val="24"/>
          <w:lang w:val="et-EE"/>
        </w:rPr>
        <w:t xml:space="preserve"> </w:t>
      </w:r>
    </w:p>
    <w:p w:rsidR="00417DD5" w:rsidRDefault="00BB762F" w:rsidP="00417DD5">
      <w:pPr>
        <w:pStyle w:val="ListParagraph"/>
        <w:numPr>
          <w:ilvl w:val="0"/>
          <w:numId w:val="25"/>
        </w:numPr>
        <w:spacing w:line="276" w:lineRule="auto"/>
        <w:jc w:val="both"/>
        <w:rPr>
          <w:sz w:val="24"/>
          <w:szCs w:val="24"/>
          <w:lang w:val="et-EE"/>
        </w:rPr>
      </w:pPr>
      <w:r>
        <w:rPr>
          <w:sz w:val="24"/>
          <w:szCs w:val="24"/>
          <w:lang w:val="et-EE"/>
        </w:rPr>
        <w:t>saadavate toetuste keskmi</w:t>
      </w:r>
      <w:r w:rsidR="00337C6F">
        <w:rPr>
          <w:sz w:val="24"/>
          <w:szCs w:val="24"/>
          <w:lang w:val="et-EE"/>
        </w:rPr>
        <w:t>seks kasvuks on planeeritud 4,71</w:t>
      </w:r>
      <w:r>
        <w:rPr>
          <w:sz w:val="24"/>
          <w:szCs w:val="24"/>
          <w:lang w:val="et-EE"/>
        </w:rPr>
        <w:t>%, millest tasandusfondi kasvuks 1,99% ning toetusfondi kasv 4%.</w:t>
      </w:r>
    </w:p>
    <w:p w:rsidR="00417DD5" w:rsidRPr="00417DD5" w:rsidRDefault="00417DD5" w:rsidP="00417DD5">
      <w:pPr>
        <w:pStyle w:val="ListParagraph"/>
        <w:numPr>
          <w:ilvl w:val="0"/>
          <w:numId w:val="25"/>
        </w:numPr>
        <w:spacing w:line="276" w:lineRule="auto"/>
        <w:jc w:val="both"/>
        <w:rPr>
          <w:sz w:val="24"/>
          <w:szCs w:val="24"/>
          <w:lang w:val="et-EE"/>
        </w:rPr>
      </w:pPr>
      <w:r>
        <w:rPr>
          <w:sz w:val="24"/>
          <w:szCs w:val="24"/>
          <w:lang w:val="et-EE"/>
        </w:rPr>
        <w:t xml:space="preserve">muude tulude </w:t>
      </w:r>
      <w:r w:rsidR="009D08FC">
        <w:rPr>
          <w:sz w:val="24"/>
          <w:szCs w:val="24"/>
          <w:lang w:val="et-EE"/>
        </w:rPr>
        <w:t>ehk vee erikasutus ja ka</w:t>
      </w:r>
      <w:r w:rsidR="006C025D">
        <w:rPr>
          <w:sz w:val="24"/>
          <w:szCs w:val="24"/>
          <w:lang w:val="et-EE"/>
        </w:rPr>
        <w:t>evandamisõiguste tasude prognoosi aluseks võetud</w:t>
      </w:r>
      <w:r w:rsidR="00C77EE0">
        <w:rPr>
          <w:sz w:val="24"/>
          <w:szCs w:val="24"/>
          <w:lang w:val="et-EE"/>
        </w:rPr>
        <w:t xml:space="preserve"> </w:t>
      </w:r>
      <w:r w:rsidR="006C025D">
        <w:rPr>
          <w:sz w:val="24"/>
          <w:szCs w:val="24"/>
          <w:lang w:val="et-EE"/>
        </w:rPr>
        <w:br/>
      </w:r>
      <w:r w:rsidR="00C77EE0">
        <w:rPr>
          <w:sz w:val="24"/>
          <w:szCs w:val="24"/>
          <w:lang w:val="et-EE"/>
        </w:rPr>
        <w:t>2019.</w:t>
      </w:r>
      <w:r w:rsidR="006C025D">
        <w:rPr>
          <w:sz w:val="24"/>
          <w:szCs w:val="24"/>
          <w:lang w:val="et-EE"/>
        </w:rPr>
        <w:t xml:space="preserve"> a</w:t>
      </w:r>
      <w:r w:rsidR="00C77EE0">
        <w:rPr>
          <w:sz w:val="24"/>
          <w:szCs w:val="24"/>
          <w:lang w:val="et-EE"/>
        </w:rPr>
        <w:t xml:space="preserve">asta </w:t>
      </w:r>
      <w:r w:rsidR="007D5240">
        <w:rPr>
          <w:sz w:val="24"/>
          <w:szCs w:val="24"/>
          <w:lang w:val="et-EE"/>
        </w:rPr>
        <w:t xml:space="preserve">ca. </w:t>
      </w:r>
      <w:r w:rsidR="00C77EE0">
        <w:rPr>
          <w:sz w:val="24"/>
          <w:szCs w:val="24"/>
          <w:lang w:val="et-EE"/>
        </w:rPr>
        <w:t>1</w:t>
      </w:r>
      <w:r w:rsidR="007D5240">
        <w:rPr>
          <w:sz w:val="24"/>
          <w:szCs w:val="24"/>
          <w:lang w:val="et-EE"/>
        </w:rPr>
        <w:t>1</w:t>
      </w:r>
      <w:r w:rsidR="006C025D">
        <w:rPr>
          <w:sz w:val="24"/>
          <w:szCs w:val="24"/>
          <w:lang w:val="et-EE"/>
        </w:rPr>
        <w:t xml:space="preserve"> kuu tegelikud laekumised.</w:t>
      </w:r>
    </w:p>
    <w:p w:rsidR="007D3A0F" w:rsidRDefault="007D3A0F" w:rsidP="00326510">
      <w:pPr>
        <w:jc w:val="both"/>
        <w:rPr>
          <w:sz w:val="24"/>
          <w:szCs w:val="24"/>
        </w:rPr>
      </w:pPr>
    </w:p>
    <w:p w:rsidR="001755F4" w:rsidRDefault="001755F4" w:rsidP="00326510">
      <w:pPr>
        <w:jc w:val="both"/>
        <w:rPr>
          <w:sz w:val="24"/>
          <w:szCs w:val="24"/>
        </w:rPr>
      </w:pPr>
    </w:p>
    <w:p w:rsidR="00503110" w:rsidRDefault="00503110" w:rsidP="00326510">
      <w:pPr>
        <w:jc w:val="both"/>
        <w:rPr>
          <w:sz w:val="24"/>
          <w:szCs w:val="24"/>
        </w:rPr>
      </w:pPr>
    </w:p>
    <w:p w:rsidR="00503110" w:rsidRDefault="00503110" w:rsidP="00326510">
      <w:pPr>
        <w:jc w:val="both"/>
        <w:rPr>
          <w:sz w:val="24"/>
          <w:szCs w:val="24"/>
        </w:rPr>
      </w:pPr>
    </w:p>
    <w:p w:rsidR="007D3A0F" w:rsidRPr="00CA6501" w:rsidRDefault="007D3A0F" w:rsidP="00FA5C8A">
      <w:pPr>
        <w:pStyle w:val="Heading1"/>
        <w:numPr>
          <w:ilvl w:val="1"/>
          <w:numId w:val="2"/>
        </w:numPr>
      </w:pPr>
      <w:bookmarkStart w:id="11" w:name="_Toc529432886"/>
      <w:bookmarkStart w:id="12" w:name="_Toc22542300"/>
      <w:r>
        <w:lastRenderedPageBreak/>
        <w:t>Põhitegevuse kulud</w:t>
      </w:r>
      <w:bookmarkEnd w:id="11"/>
      <w:bookmarkEnd w:id="12"/>
    </w:p>
    <w:p w:rsidR="009D08FC" w:rsidRDefault="009D08FC" w:rsidP="00A27A28">
      <w:pPr>
        <w:jc w:val="both"/>
        <w:rPr>
          <w:sz w:val="24"/>
          <w:szCs w:val="24"/>
          <w:lang w:val="et-EE"/>
        </w:rPr>
      </w:pPr>
    </w:p>
    <w:p w:rsidR="009D08FC" w:rsidRDefault="009D08FC" w:rsidP="00A27A28">
      <w:pPr>
        <w:jc w:val="both"/>
        <w:rPr>
          <w:sz w:val="24"/>
          <w:szCs w:val="24"/>
          <w:lang w:val="et-EE"/>
        </w:rPr>
      </w:pPr>
      <w:r>
        <w:rPr>
          <w:sz w:val="24"/>
          <w:szCs w:val="24"/>
          <w:lang w:val="et-EE"/>
        </w:rPr>
        <w:t>Põhitegevustulud jaotatakse lähtuvalt KOFS-ist kaheks:</w:t>
      </w:r>
    </w:p>
    <w:p w:rsidR="009D08FC" w:rsidRDefault="009D08FC" w:rsidP="009D08FC">
      <w:pPr>
        <w:pStyle w:val="ListParagraph"/>
        <w:numPr>
          <w:ilvl w:val="0"/>
          <w:numId w:val="26"/>
        </w:numPr>
        <w:jc w:val="both"/>
        <w:rPr>
          <w:sz w:val="24"/>
          <w:szCs w:val="24"/>
          <w:lang w:val="et-EE"/>
        </w:rPr>
      </w:pPr>
      <w:r>
        <w:rPr>
          <w:sz w:val="24"/>
          <w:szCs w:val="24"/>
          <w:lang w:val="et-EE"/>
        </w:rPr>
        <w:t>antavad toetused</w:t>
      </w:r>
    </w:p>
    <w:p w:rsidR="009D08FC" w:rsidRPr="009D08FC" w:rsidRDefault="009D08FC" w:rsidP="009D08FC">
      <w:pPr>
        <w:pStyle w:val="ListParagraph"/>
        <w:numPr>
          <w:ilvl w:val="0"/>
          <w:numId w:val="26"/>
        </w:numPr>
        <w:jc w:val="both"/>
        <w:rPr>
          <w:sz w:val="24"/>
          <w:szCs w:val="24"/>
          <w:lang w:val="et-EE"/>
        </w:rPr>
      </w:pPr>
      <w:r>
        <w:rPr>
          <w:sz w:val="24"/>
          <w:szCs w:val="24"/>
          <w:lang w:val="et-EE"/>
        </w:rPr>
        <w:t>muud tegevuskulud</w:t>
      </w:r>
    </w:p>
    <w:p w:rsidR="007D3A0F" w:rsidRPr="00A27A28" w:rsidRDefault="007D3A0F" w:rsidP="00A27A28">
      <w:pPr>
        <w:rPr>
          <w:sz w:val="24"/>
          <w:szCs w:val="24"/>
        </w:rPr>
      </w:pPr>
    </w:p>
    <w:tbl>
      <w:tblPr>
        <w:tblW w:w="10196" w:type="dxa"/>
        <w:tblInd w:w="-10" w:type="dxa"/>
        <w:tblCellMar>
          <w:left w:w="70" w:type="dxa"/>
          <w:right w:w="70" w:type="dxa"/>
        </w:tblCellMar>
        <w:tblLook w:val="04A0" w:firstRow="1" w:lastRow="0" w:firstColumn="1" w:lastColumn="0" w:noHBand="0" w:noVBand="1"/>
      </w:tblPr>
      <w:tblGrid>
        <w:gridCol w:w="3964"/>
        <w:gridCol w:w="1263"/>
        <w:gridCol w:w="1366"/>
        <w:gridCol w:w="1263"/>
        <w:gridCol w:w="1162"/>
        <w:gridCol w:w="1178"/>
      </w:tblGrid>
      <w:tr w:rsidR="000B20A4" w:rsidRPr="000B20A4" w:rsidTr="001755F4">
        <w:trPr>
          <w:trHeight w:val="538"/>
        </w:trPr>
        <w:tc>
          <w:tcPr>
            <w:tcW w:w="3964" w:type="dxa"/>
            <w:tcBorders>
              <w:top w:val="single" w:sz="8" w:space="0" w:color="auto"/>
              <w:left w:val="single" w:sz="8" w:space="0" w:color="auto"/>
              <w:bottom w:val="single" w:sz="8" w:space="0" w:color="auto"/>
              <w:right w:val="single" w:sz="4" w:space="0" w:color="auto"/>
            </w:tcBorders>
            <w:shd w:val="clear" w:color="000000" w:fill="CCFFCC"/>
            <w:vAlign w:val="bottom"/>
            <w:hideMark/>
          </w:tcPr>
          <w:p w:rsidR="000B20A4" w:rsidRPr="000B20A4" w:rsidRDefault="000B20A4" w:rsidP="000B20A4">
            <w:pPr>
              <w:widowControl/>
              <w:autoSpaceDE/>
              <w:autoSpaceDN/>
              <w:jc w:val="center"/>
              <w:rPr>
                <w:rFonts w:ascii="Arial" w:hAnsi="Arial" w:cs="Arial"/>
                <w:b/>
                <w:bCs/>
                <w:sz w:val="20"/>
                <w:szCs w:val="20"/>
                <w:lang w:val="et-EE" w:eastAsia="et-EE"/>
              </w:rPr>
            </w:pPr>
            <w:r w:rsidRPr="000B20A4">
              <w:rPr>
                <w:rFonts w:ascii="Arial" w:hAnsi="Arial" w:cs="Arial"/>
                <w:b/>
                <w:bCs/>
                <w:sz w:val="20"/>
                <w:szCs w:val="20"/>
                <w:lang w:val="et-EE" w:eastAsia="et-EE"/>
              </w:rPr>
              <w:t> </w:t>
            </w:r>
          </w:p>
        </w:tc>
        <w:tc>
          <w:tcPr>
            <w:tcW w:w="1263" w:type="dxa"/>
            <w:tcBorders>
              <w:top w:val="single" w:sz="8" w:space="0" w:color="auto"/>
              <w:left w:val="nil"/>
              <w:bottom w:val="single" w:sz="8" w:space="0" w:color="auto"/>
              <w:right w:val="single" w:sz="4" w:space="0" w:color="auto"/>
            </w:tcBorders>
            <w:shd w:val="clear" w:color="000000" w:fill="CCFFCC"/>
            <w:vAlign w:val="bottom"/>
            <w:hideMark/>
          </w:tcPr>
          <w:p w:rsidR="000B20A4" w:rsidRPr="000B20A4" w:rsidRDefault="000B20A4" w:rsidP="000B20A4">
            <w:pPr>
              <w:widowControl/>
              <w:autoSpaceDE/>
              <w:autoSpaceDN/>
              <w:jc w:val="center"/>
              <w:rPr>
                <w:rFonts w:ascii="Arial" w:hAnsi="Arial" w:cs="Arial"/>
                <w:b/>
                <w:bCs/>
                <w:sz w:val="20"/>
                <w:szCs w:val="20"/>
                <w:lang w:val="et-EE" w:eastAsia="et-EE"/>
              </w:rPr>
            </w:pPr>
            <w:r w:rsidRPr="000B20A4">
              <w:rPr>
                <w:rFonts w:ascii="Arial" w:hAnsi="Arial" w:cs="Arial"/>
                <w:b/>
                <w:bCs/>
                <w:sz w:val="20"/>
                <w:szCs w:val="20"/>
                <w:lang w:val="et-EE" w:eastAsia="et-EE"/>
              </w:rPr>
              <w:t>2019 eeldatav täitmine</w:t>
            </w:r>
          </w:p>
        </w:tc>
        <w:tc>
          <w:tcPr>
            <w:tcW w:w="1366" w:type="dxa"/>
            <w:tcBorders>
              <w:top w:val="single" w:sz="8" w:space="0" w:color="auto"/>
              <w:left w:val="nil"/>
              <w:bottom w:val="single" w:sz="8" w:space="0" w:color="auto"/>
              <w:right w:val="single" w:sz="4" w:space="0" w:color="auto"/>
            </w:tcBorders>
            <w:shd w:val="clear" w:color="000000" w:fill="CCFFCC"/>
            <w:vAlign w:val="bottom"/>
            <w:hideMark/>
          </w:tcPr>
          <w:p w:rsidR="000B20A4" w:rsidRPr="000B20A4" w:rsidRDefault="000B20A4" w:rsidP="000B20A4">
            <w:pPr>
              <w:widowControl/>
              <w:autoSpaceDE/>
              <w:autoSpaceDN/>
              <w:jc w:val="center"/>
              <w:rPr>
                <w:rFonts w:ascii="Arial" w:hAnsi="Arial" w:cs="Arial"/>
                <w:b/>
                <w:bCs/>
                <w:sz w:val="20"/>
                <w:szCs w:val="20"/>
                <w:lang w:val="et-EE" w:eastAsia="et-EE"/>
              </w:rPr>
            </w:pPr>
            <w:r w:rsidRPr="000B20A4">
              <w:rPr>
                <w:rFonts w:ascii="Arial" w:hAnsi="Arial" w:cs="Arial"/>
                <w:b/>
                <w:bCs/>
                <w:sz w:val="20"/>
                <w:szCs w:val="20"/>
                <w:lang w:val="et-EE" w:eastAsia="et-EE"/>
              </w:rPr>
              <w:t xml:space="preserve">2020 eelarve  </w:t>
            </w:r>
          </w:p>
        </w:tc>
        <w:tc>
          <w:tcPr>
            <w:tcW w:w="1263" w:type="dxa"/>
            <w:tcBorders>
              <w:top w:val="single" w:sz="8" w:space="0" w:color="auto"/>
              <w:left w:val="nil"/>
              <w:bottom w:val="single" w:sz="8" w:space="0" w:color="auto"/>
              <w:right w:val="single" w:sz="4" w:space="0" w:color="auto"/>
            </w:tcBorders>
            <w:shd w:val="clear" w:color="000000" w:fill="CCFFCC"/>
            <w:vAlign w:val="bottom"/>
            <w:hideMark/>
          </w:tcPr>
          <w:p w:rsidR="000B20A4" w:rsidRPr="000B20A4" w:rsidRDefault="000B20A4" w:rsidP="000B20A4">
            <w:pPr>
              <w:widowControl/>
              <w:autoSpaceDE/>
              <w:autoSpaceDN/>
              <w:jc w:val="center"/>
              <w:rPr>
                <w:rFonts w:ascii="Arial" w:hAnsi="Arial" w:cs="Arial"/>
                <w:b/>
                <w:bCs/>
                <w:sz w:val="20"/>
                <w:szCs w:val="20"/>
                <w:lang w:val="et-EE" w:eastAsia="et-EE"/>
              </w:rPr>
            </w:pPr>
            <w:r w:rsidRPr="000B20A4">
              <w:rPr>
                <w:rFonts w:ascii="Arial" w:hAnsi="Arial" w:cs="Arial"/>
                <w:b/>
                <w:bCs/>
                <w:sz w:val="20"/>
                <w:szCs w:val="20"/>
                <w:lang w:val="et-EE" w:eastAsia="et-EE"/>
              </w:rPr>
              <w:t xml:space="preserve">2021 eelarve  </w:t>
            </w:r>
          </w:p>
        </w:tc>
        <w:tc>
          <w:tcPr>
            <w:tcW w:w="1162" w:type="dxa"/>
            <w:tcBorders>
              <w:top w:val="single" w:sz="8" w:space="0" w:color="auto"/>
              <w:left w:val="nil"/>
              <w:bottom w:val="single" w:sz="8" w:space="0" w:color="auto"/>
              <w:right w:val="single" w:sz="4" w:space="0" w:color="auto"/>
            </w:tcBorders>
            <w:shd w:val="clear" w:color="000000" w:fill="CCFFCC"/>
            <w:vAlign w:val="bottom"/>
            <w:hideMark/>
          </w:tcPr>
          <w:p w:rsidR="000B20A4" w:rsidRPr="000B20A4" w:rsidRDefault="000B20A4" w:rsidP="000B20A4">
            <w:pPr>
              <w:widowControl/>
              <w:autoSpaceDE/>
              <w:autoSpaceDN/>
              <w:jc w:val="center"/>
              <w:rPr>
                <w:rFonts w:ascii="Arial" w:hAnsi="Arial" w:cs="Arial"/>
                <w:b/>
                <w:bCs/>
                <w:sz w:val="20"/>
                <w:szCs w:val="20"/>
                <w:lang w:val="et-EE" w:eastAsia="et-EE"/>
              </w:rPr>
            </w:pPr>
            <w:r w:rsidRPr="000B20A4">
              <w:rPr>
                <w:rFonts w:ascii="Arial" w:hAnsi="Arial" w:cs="Arial"/>
                <w:b/>
                <w:bCs/>
                <w:sz w:val="20"/>
                <w:szCs w:val="20"/>
                <w:lang w:val="et-EE" w:eastAsia="et-EE"/>
              </w:rPr>
              <w:t xml:space="preserve">2022 eelarve  </w:t>
            </w:r>
          </w:p>
        </w:tc>
        <w:tc>
          <w:tcPr>
            <w:tcW w:w="1178" w:type="dxa"/>
            <w:tcBorders>
              <w:top w:val="single" w:sz="8" w:space="0" w:color="auto"/>
              <w:left w:val="nil"/>
              <w:bottom w:val="single" w:sz="8" w:space="0" w:color="auto"/>
              <w:right w:val="single" w:sz="8" w:space="0" w:color="auto"/>
            </w:tcBorders>
            <w:shd w:val="clear" w:color="000000" w:fill="CCFFCC"/>
            <w:vAlign w:val="bottom"/>
            <w:hideMark/>
          </w:tcPr>
          <w:p w:rsidR="000B20A4" w:rsidRPr="000B20A4" w:rsidRDefault="000B20A4" w:rsidP="000B20A4">
            <w:pPr>
              <w:widowControl/>
              <w:autoSpaceDE/>
              <w:autoSpaceDN/>
              <w:jc w:val="center"/>
              <w:rPr>
                <w:rFonts w:ascii="Arial" w:hAnsi="Arial" w:cs="Arial"/>
                <w:b/>
                <w:bCs/>
                <w:sz w:val="20"/>
                <w:szCs w:val="20"/>
                <w:lang w:val="et-EE" w:eastAsia="et-EE"/>
              </w:rPr>
            </w:pPr>
            <w:r w:rsidRPr="000B20A4">
              <w:rPr>
                <w:rFonts w:ascii="Arial" w:hAnsi="Arial" w:cs="Arial"/>
                <w:b/>
                <w:bCs/>
                <w:sz w:val="20"/>
                <w:szCs w:val="20"/>
                <w:lang w:val="et-EE" w:eastAsia="et-EE"/>
              </w:rPr>
              <w:t xml:space="preserve">2023 eelarve  </w:t>
            </w:r>
          </w:p>
        </w:tc>
      </w:tr>
      <w:tr w:rsidR="007C71B3" w:rsidRPr="000B20A4" w:rsidTr="001755F4">
        <w:trPr>
          <w:trHeight w:val="124"/>
        </w:trPr>
        <w:tc>
          <w:tcPr>
            <w:tcW w:w="3964" w:type="dxa"/>
            <w:tcBorders>
              <w:top w:val="nil"/>
              <w:left w:val="single" w:sz="8" w:space="0" w:color="auto"/>
              <w:bottom w:val="single" w:sz="4" w:space="0" w:color="000000"/>
              <w:right w:val="single" w:sz="4" w:space="0" w:color="000000"/>
            </w:tcBorders>
            <w:shd w:val="clear" w:color="auto" w:fill="auto"/>
            <w:noWrap/>
            <w:vAlign w:val="bottom"/>
            <w:hideMark/>
          </w:tcPr>
          <w:p w:rsidR="007C71B3" w:rsidRPr="000B20A4" w:rsidRDefault="007C71B3" w:rsidP="007C71B3">
            <w:pPr>
              <w:widowControl/>
              <w:autoSpaceDE/>
              <w:autoSpaceDN/>
              <w:rPr>
                <w:rFonts w:ascii="Arial" w:hAnsi="Arial" w:cs="Arial"/>
                <w:b/>
                <w:bCs/>
                <w:sz w:val="20"/>
                <w:szCs w:val="20"/>
                <w:lang w:val="et-EE" w:eastAsia="et-EE"/>
              </w:rPr>
            </w:pPr>
            <w:r w:rsidRPr="000B20A4">
              <w:rPr>
                <w:rFonts w:ascii="Arial" w:hAnsi="Arial" w:cs="Arial"/>
                <w:b/>
                <w:bCs/>
                <w:sz w:val="20"/>
                <w:szCs w:val="20"/>
                <w:lang w:val="et-EE" w:eastAsia="et-EE"/>
              </w:rPr>
              <w:t>Põhitegevuse kulud kokku</w:t>
            </w:r>
          </w:p>
        </w:tc>
        <w:tc>
          <w:tcPr>
            <w:tcW w:w="1263" w:type="dxa"/>
            <w:tcBorders>
              <w:top w:val="nil"/>
              <w:left w:val="single" w:sz="4" w:space="0" w:color="auto"/>
              <w:bottom w:val="single" w:sz="4" w:space="0" w:color="auto"/>
              <w:right w:val="nil"/>
            </w:tcBorders>
            <w:shd w:val="clear" w:color="000000" w:fill="C0C0C0"/>
            <w:vAlign w:val="bottom"/>
            <w:hideMark/>
          </w:tcPr>
          <w:p w:rsidR="007C71B3" w:rsidRDefault="007C71B3" w:rsidP="007C71B3">
            <w:pPr>
              <w:jc w:val="right"/>
              <w:rPr>
                <w:rFonts w:ascii="Arial" w:hAnsi="Arial" w:cs="Arial"/>
                <w:b/>
                <w:bCs/>
                <w:sz w:val="20"/>
                <w:szCs w:val="20"/>
                <w:lang w:val="et-EE" w:eastAsia="et-EE"/>
              </w:rPr>
            </w:pPr>
            <w:r>
              <w:rPr>
                <w:rFonts w:ascii="Arial" w:hAnsi="Arial" w:cs="Arial"/>
                <w:b/>
                <w:bCs/>
                <w:sz w:val="20"/>
                <w:szCs w:val="20"/>
              </w:rPr>
              <w:t>10 689 783</w:t>
            </w:r>
          </w:p>
        </w:tc>
        <w:tc>
          <w:tcPr>
            <w:tcW w:w="1366" w:type="dxa"/>
            <w:tcBorders>
              <w:top w:val="nil"/>
              <w:left w:val="single" w:sz="4" w:space="0" w:color="auto"/>
              <w:bottom w:val="single" w:sz="4" w:space="0" w:color="auto"/>
              <w:right w:val="single" w:sz="4" w:space="0" w:color="auto"/>
            </w:tcBorders>
            <w:shd w:val="clear" w:color="000000" w:fill="C0C0C0"/>
            <w:vAlign w:val="bottom"/>
            <w:hideMark/>
          </w:tcPr>
          <w:p w:rsidR="007C71B3" w:rsidRDefault="007C71B3" w:rsidP="007C71B3">
            <w:pPr>
              <w:jc w:val="right"/>
              <w:rPr>
                <w:rFonts w:ascii="Arial" w:hAnsi="Arial" w:cs="Arial"/>
                <w:b/>
                <w:bCs/>
                <w:sz w:val="20"/>
                <w:szCs w:val="20"/>
              </w:rPr>
            </w:pPr>
            <w:r>
              <w:rPr>
                <w:rFonts w:ascii="Arial" w:hAnsi="Arial" w:cs="Arial"/>
                <w:b/>
                <w:bCs/>
                <w:sz w:val="20"/>
                <w:szCs w:val="20"/>
              </w:rPr>
              <w:t>11 320 407</w:t>
            </w:r>
          </w:p>
        </w:tc>
        <w:tc>
          <w:tcPr>
            <w:tcW w:w="1263" w:type="dxa"/>
            <w:tcBorders>
              <w:top w:val="nil"/>
              <w:left w:val="nil"/>
              <w:bottom w:val="single" w:sz="4" w:space="0" w:color="auto"/>
              <w:right w:val="single" w:sz="4" w:space="0" w:color="auto"/>
            </w:tcBorders>
            <w:shd w:val="clear" w:color="000000" w:fill="C0C0C0"/>
            <w:vAlign w:val="bottom"/>
            <w:hideMark/>
          </w:tcPr>
          <w:p w:rsidR="007C71B3" w:rsidRDefault="007C71B3" w:rsidP="007C71B3">
            <w:pPr>
              <w:jc w:val="right"/>
              <w:rPr>
                <w:rFonts w:ascii="Arial" w:hAnsi="Arial" w:cs="Arial"/>
                <w:b/>
                <w:bCs/>
                <w:sz w:val="20"/>
                <w:szCs w:val="20"/>
              </w:rPr>
            </w:pPr>
            <w:r>
              <w:rPr>
                <w:rFonts w:ascii="Arial" w:hAnsi="Arial" w:cs="Arial"/>
                <w:b/>
                <w:bCs/>
                <w:sz w:val="20"/>
                <w:szCs w:val="20"/>
              </w:rPr>
              <w:t>11 582 357</w:t>
            </w:r>
          </w:p>
        </w:tc>
        <w:tc>
          <w:tcPr>
            <w:tcW w:w="1162" w:type="dxa"/>
            <w:tcBorders>
              <w:top w:val="nil"/>
              <w:left w:val="nil"/>
              <w:bottom w:val="single" w:sz="4" w:space="0" w:color="auto"/>
              <w:right w:val="single" w:sz="4" w:space="0" w:color="auto"/>
            </w:tcBorders>
            <w:shd w:val="clear" w:color="000000" w:fill="C0C0C0"/>
            <w:vAlign w:val="bottom"/>
            <w:hideMark/>
          </w:tcPr>
          <w:p w:rsidR="007C71B3" w:rsidRDefault="007C71B3" w:rsidP="007C71B3">
            <w:pPr>
              <w:jc w:val="right"/>
              <w:rPr>
                <w:rFonts w:ascii="Arial" w:hAnsi="Arial" w:cs="Arial"/>
                <w:b/>
                <w:bCs/>
                <w:sz w:val="20"/>
                <w:szCs w:val="20"/>
              </w:rPr>
            </w:pPr>
            <w:r>
              <w:rPr>
                <w:rFonts w:ascii="Arial" w:hAnsi="Arial" w:cs="Arial"/>
                <w:b/>
                <w:bCs/>
                <w:sz w:val="20"/>
                <w:szCs w:val="20"/>
              </w:rPr>
              <w:t>11 851 219</w:t>
            </w:r>
          </w:p>
        </w:tc>
        <w:tc>
          <w:tcPr>
            <w:tcW w:w="1178" w:type="dxa"/>
            <w:tcBorders>
              <w:top w:val="nil"/>
              <w:left w:val="nil"/>
              <w:bottom w:val="single" w:sz="4" w:space="0" w:color="auto"/>
              <w:right w:val="single" w:sz="8" w:space="0" w:color="auto"/>
            </w:tcBorders>
            <w:shd w:val="clear" w:color="000000" w:fill="C0C0C0"/>
            <w:vAlign w:val="bottom"/>
            <w:hideMark/>
          </w:tcPr>
          <w:p w:rsidR="007C71B3" w:rsidRDefault="007C71B3" w:rsidP="007C71B3">
            <w:pPr>
              <w:jc w:val="right"/>
              <w:rPr>
                <w:rFonts w:ascii="Arial" w:hAnsi="Arial" w:cs="Arial"/>
                <w:b/>
                <w:bCs/>
                <w:sz w:val="20"/>
                <w:szCs w:val="20"/>
              </w:rPr>
            </w:pPr>
            <w:r>
              <w:rPr>
                <w:rFonts w:ascii="Arial" w:hAnsi="Arial" w:cs="Arial"/>
                <w:b/>
                <w:bCs/>
                <w:sz w:val="20"/>
                <w:szCs w:val="20"/>
              </w:rPr>
              <w:t>12 120 546</w:t>
            </w:r>
          </w:p>
        </w:tc>
      </w:tr>
      <w:tr w:rsidR="007C71B3" w:rsidRPr="000B20A4" w:rsidTr="001755F4">
        <w:trPr>
          <w:trHeight w:val="124"/>
        </w:trPr>
        <w:tc>
          <w:tcPr>
            <w:tcW w:w="3964" w:type="dxa"/>
            <w:tcBorders>
              <w:top w:val="nil"/>
              <w:left w:val="single" w:sz="8" w:space="0" w:color="auto"/>
              <w:bottom w:val="single" w:sz="4" w:space="0" w:color="000000"/>
              <w:right w:val="single" w:sz="4" w:space="0" w:color="000000"/>
            </w:tcBorders>
            <w:shd w:val="clear" w:color="auto" w:fill="auto"/>
            <w:noWrap/>
            <w:vAlign w:val="bottom"/>
            <w:hideMark/>
          </w:tcPr>
          <w:p w:rsidR="007C71B3" w:rsidRPr="000B20A4" w:rsidRDefault="007C71B3" w:rsidP="007C71B3">
            <w:pPr>
              <w:widowControl/>
              <w:autoSpaceDE/>
              <w:autoSpaceDN/>
              <w:rPr>
                <w:rFonts w:ascii="Arial" w:hAnsi="Arial" w:cs="Arial"/>
                <w:sz w:val="16"/>
                <w:szCs w:val="16"/>
                <w:lang w:val="et-EE" w:eastAsia="et-EE"/>
              </w:rPr>
            </w:pPr>
            <w:r w:rsidRPr="000B20A4">
              <w:rPr>
                <w:rFonts w:ascii="Arial" w:hAnsi="Arial" w:cs="Arial"/>
                <w:sz w:val="16"/>
                <w:szCs w:val="16"/>
                <w:lang w:val="et-EE" w:eastAsia="et-EE"/>
              </w:rPr>
              <w:t xml:space="preserve">     Antavad toetused tegevuskuludeks</w:t>
            </w:r>
          </w:p>
        </w:tc>
        <w:tc>
          <w:tcPr>
            <w:tcW w:w="1263" w:type="dxa"/>
            <w:tcBorders>
              <w:top w:val="nil"/>
              <w:left w:val="single" w:sz="4" w:space="0" w:color="auto"/>
              <w:bottom w:val="single" w:sz="4" w:space="0" w:color="auto"/>
              <w:right w:val="nil"/>
            </w:tcBorders>
            <w:shd w:val="clear" w:color="000000" w:fill="969696"/>
            <w:vAlign w:val="bottom"/>
            <w:hideMark/>
          </w:tcPr>
          <w:p w:rsidR="007C71B3" w:rsidRDefault="007C71B3" w:rsidP="007C71B3">
            <w:pPr>
              <w:jc w:val="right"/>
              <w:rPr>
                <w:rFonts w:ascii="Arial" w:hAnsi="Arial" w:cs="Arial"/>
                <w:sz w:val="20"/>
                <w:szCs w:val="20"/>
              </w:rPr>
            </w:pPr>
            <w:r>
              <w:rPr>
                <w:rFonts w:ascii="Arial" w:hAnsi="Arial" w:cs="Arial"/>
                <w:sz w:val="20"/>
                <w:szCs w:val="20"/>
              </w:rPr>
              <w:t>1 049 587</w:t>
            </w:r>
          </w:p>
        </w:tc>
        <w:tc>
          <w:tcPr>
            <w:tcW w:w="1366" w:type="dxa"/>
            <w:tcBorders>
              <w:top w:val="nil"/>
              <w:left w:val="single" w:sz="4" w:space="0" w:color="auto"/>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1 060 000</w:t>
            </w:r>
          </w:p>
        </w:tc>
        <w:tc>
          <w:tcPr>
            <w:tcW w:w="1263" w:type="dxa"/>
            <w:tcBorders>
              <w:top w:val="nil"/>
              <w:left w:val="nil"/>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1 060 000</w:t>
            </w:r>
          </w:p>
        </w:tc>
        <w:tc>
          <w:tcPr>
            <w:tcW w:w="1162" w:type="dxa"/>
            <w:tcBorders>
              <w:top w:val="nil"/>
              <w:left w:val="nil"/>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1 060 000</w:t>
            </w:r>
          </w:p>
        </w:tc>
        <w:tc>
          <w:tcPr>
            <w:tcW w:w="1178" w:type="dxa"/>
            <w:tcBorders>
              <w:top w:val="nil"/>
              <w:left w:val="nil"/>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1 060 000</w:t>
            </w:r>
          </w:p>
        </w:tc>
      </w:tr>
      <w:tr w:rsidR="007C71B3" w:rsidRPr="000B20A4" w:rsidTr="001755F4">
        <w:trPr>
          <w:trHeight w:val="124"/>
        </w:trPr>
        <w:tc>
          <w:tcPr>
            <w:tcW w:w="3964" w:type="dxa"/>
            <w:tcBorders>
              <w:top w:val="nil"/>
              <w:left w:val="single" w:sz="8" w:space="0" w:color="auto"/>
              <w:bottom w:val="single" w:sz="4" w:space="0" w:color="000000"/>
              <w:right w:val="single" w:sz="4" w:space="0" w:color="000000"/>
            </w:tcBorders>
            <w:shd w:val="clear" w:color="auto" w:fill="auto"/>
            <w:noWrap/>
            <w:vAlign w:val="bottom"/>
            <w:hideMark/>
          </w:tcPr>
          <w:p w:rsidR="007C71B3" w:rsidRPr="000B20A4" w:rsidRDefault="007C71B3" w:rsidP="007C71B3">
            <w:pPr>
              <w:widowControl/>
              <w:autoSpaceDE/>
              <w:autoSpaceDN/>
              <w:rPr>
                <w:rFonts w:ascii="Arial" w:hAnsi="Arial" w:cs="Arial"/>
                <w:sz w:val="16"/>
                <w:szCs w:val="16"/>
                <w:lang w:val="et-EE" w:eastAsia="et-EE"/>
              </w:rPr>
            </w:pPr>
            <w:r w:rsidRPr="000B20A4">
              <w:rPr>
                <w:rFonts w:ascii="Arial" w:hAnsi="Arial" w:cs="Arial"/>
                <w:sz w:val="16"/>
                <w:szCs w:val="16"/>
                <w:lang w:val="et-EE" w:eastAsia="et-EE"/>
              </w:rPr>
              <w:t xml:space="preserve">     Muud tegevuskulud</w:t>
            </w:r>
          </w:p>
        </w:tc>
        <w:tc>
          <w:tcPr>
            <w:tcW w:w="1263" w:type="dxa"/>
            <w:tcBorders>
              <w:top w:val="nil"/>
              <w:left w:val="single" w:sz="4" w:space="0" w:color="auto"/>
              <w:bottom w:val="single" w:sz="4" w:space="0" w:color="auto"/>
              <w:right w:val="nil"/>
            </w:tcBorders>
            <w:shd w:val="clear" w:color="000000" w:fill="C0C0C0"/>
            <w:vAlign w:val="bottom"/>
            <w:hideMark/>
          </w:tcPr>
          <w:p w:rsidR="007C71B3" w:rsidRDefault="007C71B3" w:rsidP="007C71B3">
            <w:pPr>
              <w:jc w:val="right"/>
              <w:rPr>
                <w:rFonts w:ascii="Arial" w:hAnsi="Arial" w:cs="Arial"/>
                <w:sz w:val="20"/>
                <w:szCs w:val="20"/>
              </w:rPr>
            </w:pPr>
            <w:r>
              <w:rPr>
                <w:rFonts w:ascii="Arial" w:hAnsi="Arial" w:cs="Arial"/>
                <w:sz w:val="20"/>
                <w:szCs w:val="20"/>
              </w:rPr>
              <w:t>9 640 196</w:t>
            </w:r>
          </w:p>
        </w:tc>
        <w:tc>
          <w:tcPr>
            <w:tcW w:w="1366" w:type="dxa"/>
            <w:tcBorders>
              <w:top w:val="nil"/>
              <w:left w:val="single" w:sz="4" w:space="0" w:color="auto"/>
              <w:bottom w:val="single" w:sz="4" w:space="0" w:color="auto"/>
              <w:right w:val="nil"/>
            </w:tcBorders>
            <w:shd w:val="clear" w:color="000000" w:fill="BFBFBF"/>
            <w:vAlign w:val="bottom"/>
            <w:hideMark/>
          </w:tcPr>
          <w:p w:rsidR="007C71B3" w:rsidRDefault="007C71B3" w:rsidP="007C71B3">
            <w:pPr>
              <w:jc w:val="right"/>
              <w:rPr>
                <w:rFonts w:ascii="Arial" w:hAnsi="Arial" w:cs="Arial"/>
                <w:sz w:val="20"/>
                <w:szCs w:val="20"/>
              </w:rPr>
            </w:pPr>
            <w:r>
              <w:rPr>
                <w:rFonts w:ascii="Arial" w:hAnsi="Arial" w:cs="Arial"/>
                <w:sz w:val="20"/>
                <w:szCs w:val="20"/>
              </w:rPr>
              <w:t>10 260 407</w:t>
            </w:r>
          </w:p>
        </w:tc>
        <w:tc>
          <w:tcPr>
            <w:tcW w:w="1263" w:type="dxa"/>
            <w:tcBorders>
              <w:top w:val="nil"/>
              <w:left w:val="single" w:sz="4" w:space="0" w:color="auto"/>
              <w:bottom w:val="single" w:sz="4" w:space="0" w:color="auto"/>
              <w:right w:val="nil"/>
            </w:tcBorders>
            <w:shd w:val="clear" w:color="000000" w:fill="BFBFBF"/>
            <w:vAlign w:val="bottom"/>
            <w:hideMark/>
          </w:tcPr>
          <w:p w:rsidR="007C71B3" w:rsidRDefault="007C71B3" w:rsidP="007C71B3">
            <w:pPr>
              <w:jc w:val="right"/>
              <w:rPr>
                <w:rFonts w:ascii="Arial" w:hAnsi="Arial" w:cs="Arial"/>
                <w:sz w:val="20"/>
                <w:szCs w:val="20"/>
              </w:rPr>
            </w:pPr>
            <w:r>
              <w:rPr>
                <w:rFonts w:ascii="Arial" w:hAnsi="Arial" w:cs="Arial"/>
                <w:sz w:val="20"/>
                <w:szCs w:val="20"/>
              </w:rPr>
              <w:t>10 522 357</w:t>
            </w:r>
          </w:p>
        </w:tc>
        <w:tc>
          <w:tcPr>
            <w:tcW w:w="1162" w:type="dxa"/>
            <w:tcBorders>
              <w:top w:val="nil"/>
              <w:left w:val="single" w:sz="4" w:space="0" w:color="auto"/>
              <w:bottom w:val="single" w:sz="4" w:space="0" w:color="auto"/>
              <w:right w:val="nil"/>
            </w:tcBorders>
            <w:shd w:val="clear" w:color="000000" w:fill="BFBFBF"/>
            <w:vAlign w:val="bottom"/>
            <w:hideMark/>
          </w:tcPr>
          <w:p w:rsidR="007C71B3" w:rsidRDefault="007C71B3" w:rsidP="007C71B3">
            <w:pPr>
              <w:jc w:val="right"/>
              <w:rPr>
                <w:rFonts w:ascii="Arial" w:hAnsi="Arial" w:cs="Arial"/>
                <w:sz w:val="20"/>
                <w:szCs w:val="20"/>
              </w:rPr>
            </w:pPr>
            <w:r>
              <w:rPr>
                <w:rFonts w:ascii="Arial" w:hAnsi="Arial" w:cs="Arial"/>
                <w:sz w:val="20"/>
                <w:szCs w:val="20"/>
              </w:rPr>
              <w:t>10 791 219</w:t>
            </w:r>
          </w:p>
        </w:tc>
        <w:tc>
          <w:tcPr>
            <w:tcW w:w="1178" w:type="dxa"/>
            <w:tcBorders>
              <w:top w:val="nil"/>
              <w:left w:val="single" w:sz="4" w:space="0" w:color="auto"/>
              <w:bottom w:val="single" w:sz="4" w:space="0" w:color="auto"/>
              <w:right w:val="single" w:sz="8" w:space="0" w:color="auto"/>
            </w:tcBorders>
            <w:shd w:val="clear" w:color="000000" w:fill="BFBFBF"/>
            <w:vAlign w:val="bottom"/>
            <w:hideMark/>
          </w:tcPr>
          <w:p w:rsidR="007C71B3" w:rsidRDefault="007C71B3" w:rsidP="007C71B3">
            <w:pPr>
              <w:jc w:val="right"/>
              <w:rPr>
                <w:rFonts w:ascii="Arial" w:hAnsi="Arial" w:cs="Arial"/>
                <w:sz w:val="20"/>
                <w:szCs w:val="20"/>
              </w:rPr>
            </w:pPr>
            <w:r>
              <w:rPr>
                <w:rFonts w:ascii="Arial" w:hAnsi="Arial" w:cs="Arial"/>
                <w:sz w:val="20"/>
                <w:szCs w:val="20"/>
              </w:rPr>
              <w:t>11 060 546</w:t>
            </w:r>
          </w:p>
        </w:tc>
      </w:tr>
      <w:tr w:rsidR="007C71B3" w:rsidRPr="000B20A4" w:rsidTr="001755F4">
        <w:trPr>
          <w:trHeight w:val="124"/>
        </w:trPr>
        <w:tc>
          <w:tcPr>
            <w:tcW w:w="3964" w:type="dxa"/>
            <w:tcBorders>
              <w:top w:val="nil"/>
              <w:left w:val="single" w:sz="8" w:space="0" w:color="auto"/>
              <w:bottom w:val="single" w:sz="4" w:space="0" w:color="000000"/>
              <w:right w:val="single" w:sz="4" w:space="0" w:color="000000"/>
            </w:tcBorders>
            <w:shd w:val="clear" w:color="auto" w:fill="auto"/>
            <w:noWrap/>
            <w:vAlign w:val="bottom"/>
            <w:hideMark/>
          </w:tcPr>
          <w:p w:rsidR="007C71B3" w:rsidRPr="000B20A4" w:rsidRDefault="007C71B3" w:rsidP="007C71B3">
            <w:pPr>
              <w:widowControl/>
              <w:autoSpaceDE/>
              <w:autoSpaceDN/>
              <w:rPr>
                <w:rFonts w:ascii="Arial" w:hAnsi="Arial" w:cs="Arial"/>
                <w:sz w:val="16"/>
                <w:szCs w:val="16"/>
                <w:lang w:val="et-EE" w:eastAsia="et-EE"/>
              </w:rPr>
            </w:pPr>
            <w:r w:rsidRPr="000B20A4">
              <w:rPr>
                <w:rFonts w:ascii="Arial" w:hAnsi="Arial" w:cs="Arial"/>
                <w:sz w:val="16"/>
                <w:szCs w:val="16"/>
                <w:lang w:val="et-EE" w:eastAsia="et-EE"/>
              </w:rPr>
              <w:t xml:space="preserve">          sh personalikulud</w:t>
            </w:r>
          </w:p>
        </w:tc>
        <w:tc>
          <w:tcPr>
            <w:tcW w:w="1263" w:type="dxa"/>
            <w:tcBorders>
              <w:top w:val="nil"/>
              <w:left w:val="single" w:sz="4" w:space="0" w:color="auto"/>
              <w:bottom w:val="single" w:sz="4" w:space="0" w:color="auto"/>
              <w:right w:val="nil"/>
            </w:tcBorders>
            <w:shd w:val="clear" w:color="000000" w:fill="969696"/>
            <w:vAlign w:val="bottom"/>
            <w:hideMark/>
          </w:tcPr>
          <w:p w:rsidR="007C71B3" w:rsidRDefault="007C71B3" w:rsidP="007C71B3">
            <w:pPr>
              <w:jc w:val="right"/>
              <w:rPr>
                <w:rFonts w:ascii="Arial" w:hAnsi="Arial" w:cs="Arial"/>
                <w:sz w:val="20"/>
                <w:szCs w:val="20"/>
              </w:rPr>
            </w:pPr>
            <w:r>
              <w:rPr>
                <w:rFonts w:ascii="Arial" w:hAnsi="Arial" w:cs="Arial"/>
                <w:sz w:val="20"/>
                <w:szCs w:val="20"/>
              </w:rPr>
              <w:t>5 967 585</w:t>
            </w:r>
          </w:p>
        </w:tc>
        <w:tc>
          <w:tcPr>
            <w:tcW w:w="1366" w:type="dxa"/>
            <w:tcBorders>
              <w:top w:val="nil"/>
              <w:left w:val="single" w:sz="4" w:space="0" w:color="auto"/>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6 265 964</w:t>
            </w:r>
          </w:p>
        </w:tc>
        <w:tc>
          <w:tcPr>
            <w:tcW w:w="1263" w:type="dxa"/>
            <w:tcBorders>
              <w:top w:val="nil"/>
              <w:left w:val="nil"/>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6 447 677</w:t>
            </w:r>
          </w:p>
        </w:tc>
        <w:tc>
          <w:tcPr>
            <w:tcW w:w="1162" w:type="dxa"/>
            <w:tcBorders>
              <w:top w:val="nil"/>
              <w:left w:val="nil"/>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6 634 660</w:t>
            </w:r>
          </w:p>
        </w:tc>
        <w:tc>
          <w:tcPr>
            <w:tcW w:w="1178" w:type="dxa"/>
            <w:tcBorders>
              <w:top w:val="nil"/>
              <w:left w:val="nil"/>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6 820 430</w:t>
            </w:r>
          </w:p>
        </w:tc>
      </w:tr>
      <w:tr w:rsidR="007C71B3" w:rsidRPr="000B20A4" w:rsidTr="001755F4">
        <w:trPr>
          <w:trHeight w:val="124"/>
        </w:trPr>
        <w:tc>
          <w:tcPr>
            <w:tcW w:w="3964" w:type="dxa"/>
            <w:tcBorders>
              <w:top w:val="nil"/>
              <w:left w:val="single" w:sz="8" w:space="0" w:color="auto"/>
              <w:bottom w:val="single" w:sz="4" w:space="0" w:color="000000"/>
              <w:right w:val="single" w:sz="4" w:space="0" w:color="000000"/>
            </w:tcBorders>
            <w:shd w:val="clear" w:color="auto" w:fill="auto"/>
            <w:noWrap/>
            <w:vAlign w:val="bottom"/>
            <w:hideMark/>
          </w:tcPr>
          <w:p w:rsidR="007C71B3" w:rsidRPr="000B20A4" w:rsidRDefault="007C71B3" w:rsidP="007C71B3">
            <w:pPr>
              <w:widowControl/>
              <w:autoSpaceDE/>
              <w:autoSpaceDN/>
              <w:rPr>
                <w:rFonts w:ascii="Arial" w:hAnsi="Arial" w:cs="Arial"/>
                <w:sz w:val="16"/>
                <w:szCs w:val="16"/>
                <w:lang w:val="et-EE" w:eastAsia="et-EE"/>
              </w:rPr>
            </w:pPr>
            <w:r w:rsidRPr="000B20A4">
              <w:rPr>
                <w:rFonts w:ascii="Arial" w:hAnsi="Arial" w:cs="Arial"/>
                <w:sz w:val="16"/>
                <w:szCs w:val="16"/>
                <w:lang w:val="et-EE" w:eastAsia="et-EE"/>
              </w:rPr>
              <w:t xml:space="preserve">          sh majandamiskulud</w:t>
            </w:r>
          </w:p>
        </w:tc>
        <w:tc>
          <w:tcPr>
            <w:tcW w:w="1263" w:type="dxa"/>
            <w:tcBorders>
              <w:top w:val="nil"/>
              <w:left w:val="single" w:sz="4" w:space="0" w:color="auto"/>
              <w:bottom w:val="single" w:sz="4" w:space="0" w:color="auto"/>
              <w:right w:val="nil"/>
            </w:tcBorders>
            <w:shd w:val="clear" w:color="000000" w:fill="969696"/>
            <w:vAlign w:val="bottom"/>
            <w:hideMark/>
          </w:tcPr>
          <w:p w:rsidR="007C71B3" w:rsidRDefault="007C71B3" w:rsidP="007C71B3">
            <w:pPr>
              <w:jc w:val="right"/>
              <w:rPr>
                <w:rFonts w:ascii="Arial" w:hAnsi="Arial" w:cs="Arial"/>
                <w:sz w:val="20"/>
                <w:szCs w:val="20"/>
              </w:rPr>
            </w:pPr>
            <w:r>
              <w:rPr>
                <w:rFonts w:ascii="Arial" w:hAnsi="Arial" w:cs="Arial"/>
                <w:sz w:val="20"/>
                <w:szCs w:val="20"/>
              </w:rPr>
              <w:t>3 620 374</w:t>
            </w:r>
          </w:p>
        </w:tc>
        <w:tc>
          <w:tcPr>
            <w:tcW w:w="1366" w:type="dxa"/>
            <w:tcBorders>
              <w:top w:val="nil"/>
              <w:left w:val="single" w:sz="4" w:space="0" w:color="auto"/>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3 910 004</w:t>
            </w:r>
          </w:p>
        </w:tc>
        <w:tc>
          <w:tcPr>
            <w:tcW w:w="1263" w:type="dxa"/>
            <w:tcBorders>
              <w:top w:val="nil"/>
              <w:left w:val="nil"/>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3 988 204</w:t>
            </w:r>
          </w:p>
        </w:tc>
        <w:tc>
          <w:tcPr>
            <w:tcW w:w="1162" w:type="dxa"/>
            <w:tcBorders>
              <w:top w:val="nil"/>
              <w:left w:val="nil"/>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4 067 968</w:t>
            </w:r>
          </w:p>
        </w:tc>
        <w:tc>
          <w:tcPr>
            <w:tcW w:w="1178" w:type="dxa"/>
            <w:tcBorders>
              <w:top w:val="nil"/>
              <w:left w:val="nil"/>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4 149 327</w:t>
            </w:r>
          </w:p>
        </w:tc>
      </w:tr>
      <w:tr w:rsidR="007C71B3" w:rsidRPr="000B20A4" w:rsidTr="001755F4">
        <w:trPr>
          <w:trHeight w:val="124"/>
        </w:trPr>
        <w:tc>
          <w:tcPr>
            <w:tcW w:w="3964" w:type="dxa"/>
            <w:tcBorders>
              <w:top w:val="nil"/>
              <w:left w:val="single" w:sz="8" w:space="0" w:color="auto"/>
              <w:bottom w:val="single" w:sz="4" w:space="0" w:color="000000"/>
              <w:right w:val="single" w:sz="4" w:space="0" w:color="000000"/>
            </w:tcBorders>
            <w:shd w:val="clear" w:color="auto" w:fill="auto"/>
            <w:noWrap/>
            <w:vAlign w:val="bottom"/>
            <w:hideMark/>
          </w:tcPr>
          <w:p w:rsidR="007C71B3" w:rsidRPr="000B20A4" w:rsidRDefault="007C71B3" w:rsidP="007C71B3">
            <w:pPr>
              <w:widowControl/>
              <w:autoSpaceDE/>
              <w:autoSpaceDN/>
              <w:rPr>
                <w:rFonts w:ascii="Arial" w:hAnsi="Arial" w:cs="Arial"/>
                <w:sz w:val="16"/>
                <w:szCs w:val="16"/>
                <w:lang w:val="et-EE" w:eastAsia="et-EE"/>
              </w:rPr>
            </w:pPr>
            <w:r w:rsidRPr="000B20A4">
              <w:rPr>
                <w:rFonts w:ascii="Arial" w:hAnsi="Arial" w:cs="Arial"/>
                <w:sz w:val="16"/>
                <w:szCs w:val="16"/>
                <w:lang w:val="et-EE" w:eastAsia="et-EE"/>
              </w:rPr>
              <w:t xml:space="preserve">          sh muud kulud</w:t>
            </w:r>
          </w:p>
        </w:tc>
        <w:tc>
          <w:tcPr>
            <w:tcW w:w="1263" w:type="dxa"/>
            <w:tcBorders>
              <w:top w:val="nil"/>
              <w:left w:val="single" w:sz="4" w:space="0" w:color="auto"/>
              <w:bottom w:val="single" w:sz="4" w:space="0" w:color="auto"/>
              <w:right w:val="nil"/>
            </w:tcBorders>
            <w:shd w:val="clear" w:color="000000" w:fill="969696"/>
            <w:vAlign w:val="bottom"/>
            <w:hideMark/>
          </w:tcPr>
          <w:p w:rsidR="007C71B3" w:rsidRDefault="007C71B3" w:rsidP="007C71B3">
            <w:pPr>
              <w:jc w:val="right"/>
              <w:rPr>
                <w:rFonts w:ascii="Arial" w:hAnsi="Arial" w:cs="Arial"/>
                <w:sz w:val="20"/>
                <w:szCs w:val="20"/>
                <w:lang w:val="et-EE" w:eastAsia="et-EE"/>
              </w:rPr>
            </w:pPr>
            <w:r>
              <w:rPr>
                <w:rFonts w:ascii="Arial" w:hAnsi="Arial" w:cs="Arial"/>
                <w:sz w:val="20"/>
                <w:szCs w:val="20"/>
              </w:rPr>
              <w:t>52 237</w:t>
            </w:r>
          </w:p>
        </w:tc>
        <w:tc>
          <w:tcPr>
            <w:tcW w:w="1366" w:type="dxa"/>
            <w:tcBorders>
              <w:top w:val="nil"/>
              <w:left w:val="single" w:sz="4" w:space="0" w:color="auto"/>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84 439</w:t>
            </w:r>
          </w:p>
        </w:tc>
        <w:tc>
          <w:tcPr>
            <w:tcW w:w="1263" w:type="dxa"/>
            <w:tcBorders>
              <w:top w:val="nil"/>
              <w:left w:val="nil"/>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86 476</w:t>
            </w:r>
          </w:p>
        </w:tc>
        <w:tc>
          <w:tcPr>
            <w:tcW w:w="1162" w:type="dxa"/>
            <w:tcBorders>
              <w:top w:val="nil"/>
              <w:left w:val="nil"/>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88 591</w:t>
            </w:r>
          </w:p>
        </w:tc>
        <w:tc>
          <w:tcPr>
            <w:tcW w:w="1178" w:type="dxa"/>
            <w:tcBorders>
              <w:top w:val="nil"/>
              <w:left w:val="nil"/>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90 788</w:t>
            </w:r>
          </w:p>
        </w:tc>
      </w:tr>
    </w:tbl>
    <w:p w:rsidR="007D3A0F" w:rsidRDefault="007D3A0F" w:rsidP="00326510">
      <w:pPr>
        <w:jc w:val="both"/>
        <w:rPr>
          <w:sz w:val="24"/>
          <w:szCs w:val="24"/>
        </w:rPr>
      </w:pPr>
    </w:p>
    <w:p w:rsidR="00157A85" w:rsidRPr="00CD127C" w:rsidRDefault="003E709C" w:rsidP="003E709C">
      <w:pPr>
        <w:jc w:val="both"/>
        <w:rPr>
          <w:sz w:val="24"/>
          <w:szCs w:val="24"/>
          <w:lang w:val="et-EE"/>
        </w:rPr>
      </w:pPr>
      <w:r>
        <w:rPr>
          <w:sz w:val="24"/>
          <w:szCs w:val="24"/>
        </w:rPr>
        <w:t>Strateegia perioodiks planeeritavad põhitegevus kulude kasv peab jääma väiksemaks</w:t>
      </w:r>
      <w:r w:rsidR="00DE12A8">
        <w:rPr>
          <w:sz w:val="24"/>
          <w:szCs w:val="24"/>
        </w:rPr>
        <w:t>,</w:t>
      </w:r>
      <w:r>
        <w:rPr>
          <w:sz w:val="24"/>
          <w:szCs w:val="24"/>
        </w:rPr>
        <w:t xml:space="preserve"> kui põhitegevus tulud. Kulude vähendamiseks on planeeritud optimeerida taristute ülalpidamiskulusid. </w:t>
      </w:r>
      <w:r w:rsidR="00281FE7">
        <w:rPr>
          <w:sz w:val="24"/>
          <w:szCs w:val="24"/>
        </w:rPr>
        <w:t xml:space="preserve">Strateegia </w:t>
      </w:r>
      <w:r w:rsidR="009F5939">
        <w:rPr>
          <w:sz w:val="24"/>
          <w:szCs w:val="24"/>
        </w:rPr>
        <w:t>perioodiks planeeritud põhitegevus</w:t>
      </w:r>
      <w:r w:rsidR="00DE12A8">
        <w:rPr>
          <w:sz w:val="24"/>
          <w:szCs w:val="24"/>
        </w:rPr>
        <w:t xml:space="preserve"> </w:t>
      </w:r>
      <w:r w:rsidR="00BB762F">
        <w:rPr>
          <w:sz w:val="24"/>
          <w:szCs w:val="24"/>
        </w:rPr>
        <w:t xml:space="preserve">kulud suurenevad </w:t>
      </w:r>
      <w:r w:rsidR="00503110">
        <w:rPr>
          <w:sz w:val="24"/>
          <w:szCs w:val="24"/>
        </w:rPr>
        <w:t xml:space="preserve">keskmiselt </w:t>
      </w:r>
      <w:r w:rsidR="00503FE6">
        <w:rPr>
          <w:sz w:val="24"/>
          <w:szCs w:val="24"/>
        </w:rPr>
        <w:t>3</w:t>
      </w:r>
      <w:r w:rsidR="00503110">
        <w:rPr>
          <w:sz w:val="24"/>
          <w:szCs w:val="24"/>
        </w:rPr>
        <w:t>,</w:t>
      </w:r>
      <w:r w:rsidR="00503FE6">
        <w:rPr>
          <w:sz w:val="24"/>
          <w:szCs w:val="24"/>
        </w:rPr>
        <w:t>12</w:t>
      </w:r>
      <w:r w:rsidR="009F5939">
        <w:rPr>
          <w:sz w:val="24"/>
          <w:szCs w:val="24"/>
        </w:rPr>
        <w:t>%.</w:t>
      </w:r>
    </w:p>
    <w:p w:rsidR="007D3A0F" w:rsidRDefault="007D3A0F" w:rsidP="00157A85">
      <w:pPr>
        <w:jc w:val="both"/>
        <w:rPr>
          <w:sz w:val="24"/>
          <w:szCs w:val="24"/>
        </w:rPr>
      </w:pPr>
    </w:p>
    <w:p w:rsidR="003E709C" w:rsidRDefault="003E709C" w:rsidP="00157A85">
      <w:pPr>
        <w:jc w:val="both"/>
        <w:rPr>
          <w:sz w:val="24"/>
          <w:szCs w:val="24"/>
        </w:rPr>
      </w:pPr>
      <w:r>
        <w:rPr>
          <w:sz w:val="24"/>
          <w:szCs w:val="24"/>
        </w:rPr>
        <w:t>Kuluallikate planeeringud on koostatud</w:t>
      </w:r>
      <w:r w:rsidR="00281FE7">
        <w:rPr>
          <w:sz w:val="24"/>
          <w:szCs w:val="24"/>
        </w:rPr>
        <w:t>:</w:t>
      </w:r>
    </w:p>
    <w:p w:rsidR="00281FE7" w:rsidRDefault="00281FE7" w:rsidP="00281FE7">
      <w:pPr>
        <w:pStyle w:val="ListParagraph"/>
        <w:numPr>
          <w:ilvl w:val="0"/>
          <w:numId w:val="27"/>
        </w:numPr>
        <w:jc w:val="both"/>
        <w:rPr>
          <w:sz w:val="24"/>
          <w:szCs w:val="24"/>
        </w:rPr>
      </w:pPr>
      <w:r>
        <w:rPr>
          <w:sz w:val="24"/>
          <w:szCs w:val="24"/>
        </w:rPr>
        <w:t>antavad toetuste</w:t>
      </w:r>
      <w:r w:rsidR="00BB762F">
        <w:rPr>
          <w:sz w:val="24"/>
          <w:szCs w:val="24"/>
        </w:rPr>
        <w:t xml:space="preserve"> planeering on koostatud vastavalt 2020. a eelarve planeerin</w:t>
      </w:r>
      <w:r w:rsidR="00503110">
        <w:rPr>
          <w:sz w:val="24"/>
          <w:szCs w:val="24"/>
        </w:rPr>
        <w:t xml:space="preserve">gule ning </w:t>
      </w:r>
      <w:r w:rsidR="00503FE6">
        <w:rPr>
          <w:sz w:val="24"/>
          <w:szCs w:val="24"/>
        </w:rPr>
        <w:br/>
      </w:r>
      <w:r w:rsidR="00503110">
        <w:rPr>
          <w:sz w:val="24"/>
          <w:szCs w:val="24"/>
        </w:rPr>
        <w:t>2019. a eelarve osalise täitmisele.</w:t>
      </w:r>
    </w:p>
    <w:p w:rsidR="00281FE7" w:rsidRDefault="00281FE7" w:rsidP="00281FE7">
      <w:pPr>
        <w:pStyle w:val="ListParagraph"/>
        <w:numPr>
          <w:ilvl w:val="0"/>
          <w:numId w:val="27"/>
        </w:numPr>
        <w:jc w:val="both"/>
        <w:rPr>
          <w:sz w:val="24"/>
          <w:szCs w:val="24"/>
        </w:rPr>
      </w:pPr>
      <w:r>
        <w:rPr>
          <w:sz w:val="24"/>
          <w:szCs w:val="24"/>
        </w:rPr>
        <w:t>muude tegevustulude kasv jä</w:t>
      </w:r>
      <w:r w:rsidR="00503FE6">
        <w:rPr>
          <w:sz w:val="24"/>
          <w:szCs w:val="24"/>
        </w:rPr>
        <w:t>rgnevaks aastaks planeeritud 6</w:t>
      </w:r>
      <w:r w:rsidR="001D622A">
        <w:rPr>
          <w:sz w:val="24"/>
          <w:szCs w:val="24"/>
        </w:rPr>
        <w:t>,</w:t>
      </w:r>
      <w:r w:rsidR="00503FE6">
        <w:rPr>
          <w:sz w:val="24"/>
          <w:szCs w:val="24"/>
        </w:rPr>
        <w:t>43</w:t>
      </w:r>
      <w:r>
        <w:rPr>
          <w:sz w:val="24"/>
          <w:szCs w:val="24"/>
        </w:rPr>
        <w:t xml:space="preserve">% ning 2021-2023 kasv </w:t>
      </w:r>
      <w:r w:rsidR="00DE12A8">
        <w:rPr>
          <w:sz w:val="24"/>
          <w:szCs w:val="24"/>
        </w:rPr>
        <w:t xml:space="preserve">ca. </w:t>
      </w:r>
      <w:r>
        <w:rPr>
          <w:sz w:val="24"/>
          <w:szCs w:val="24"/>
        </w:rPr>
        <w:t>2,</w:t>
      </w:r>
      <w:r w:rsidR="00DE12A8">
        <w:rPr>
          <w:sz w:val="24"/>
          <w:szCs w:val="24"/>
        </w:rPr>
        <w:t>6</w:t>
      </w:r>
      <w:r w:rsidR="00990C97">
        <w:rPr>
          <w:sz w:val="24"/>
          <w:szCs w:val="24"/>
        </w:rPr>
        <w:t>%, millest:</w:t>
      </w:r>
    </w:p>
    <w:p w:rsidR="00990C97" w:rsidRDefault="00990C97" w:rsidP="0078336F">
      <w:pPr>
        <w:pStyle w:val="ListParagraph"/>
        <w:numPr>
          <w:ilvl w:val="1"/>
          <w:numId w:val="27"/>
        </w:numPr>
        <w:jc w:val="both"/>
        <w:rPr>
          <w:sz w:val="24"/>
          <w:szCs w:val="24"/>
        </w:rPr>
      </w:pPr>
      <w:r w:rsidRPr="00990C97">
        <w:rPr>
          <w:sz w:val="24"/>
          <w:szCs w:val="24"/>
        </w:rPr>
        <w:t xml:space="preserve">personalikulude kasv keskmiselt </w:t>
      </w:r>
      <w:r>
        <w:rPr>
          <w:sz w:val="24"/>
          <w:szCs w:val="24"/>
        </w:rPr>
        <w:t>3,</w:t>
      </w:r>
      <w:r w:rsidR="00503FE6">
        <w:rPr>
          <w:sz w:val="24"/>
          <w:szCs w:val="24"/>
        </w:rPr>
        <w:t>4</w:t>
      </w:r>
      <w:r>
        <w:rPr>
          <w:sz w:val="24"/>
          <w:szCs w:val="24"/>
        </w:rPr>
        <w:t>%;</w:t>
      </w:r>
    </w:p>
    <w:p w:rsidR="00990C97" w:rsidRDefault="00990C97" w:rsidP="0078336F">
      <w:pPr>
        <w:pStyle w:val="ListParagraph"/>
        <w:numPr>
          <w:ilvl w:val="1"/>
          <w:numId w:val="27"/>
        </w:numPr>
        <w:jc w:val="both"/>
        <w:rPr>
          <w:sz w:val="24"/>
          <w:szCs w:val="24"/>
        </w:rPr>
      </w:pPr>
      <w:r w:rsidRPr="00990C97">
        <w:rPr>
          <w:sz w:val="24"/>
          <w:szCs w:val="24"/>
        </w:rPr>
        <w:t>majanda</w:t>
      </w:r>
      <w:r w:rsidR="00503FE6">
        <w:rPr>
          <w:sz w:val="24"/>
          <w:szCs w:val="24"/>
        </w:rPr>
        <w:t>miskulude kasvuks keskmiselt 3</w:t>
      </w:r>
      <w:r w:rsidR="001D622A">
        <w:rPr>
          <w:sz w:val="24"/>
          <w:szCs w:val="24"/>
        </w:rPr>
        <w:t>,5</w:t>
      </w:r>
      <w:r w:rsidRPr="00990C97">
        <w:rPr>
          <w:sz w:val="24"/>
          <w:szCs w:val="24"/>
        </w:rPr>
        <w:t>%</w:t>
      </w:r>
    </w:p>
    <w:p w:rsidR="00990C97" w:rsidRPr="00990C97" w:rsidRDefault="00990C97" w:rsidP="00990C97">
      <w:pPr>
        <w:pStyle w:val="ListParagraph"/>
        <w:ind w:left="720" w:firstLine="0"/>
        <w:jc w:val="both"/>
        <w:rPr>
          <w:sz w:val="24"/>
          <w:szCs w:val="24"/>
        </w:rPr>
      </w:pPr>
      <w:r>
        <w:rPr>
          <w:sz w:val="24"/>
          <w:szCs w:val="24"/>
        </w:rPr>
        <w:t xml:space="preserve">Personalikulude </w:t>
      </w:r>
      <w:r w:rsidR="00503FE6">
        <w:rPr>
          <w:sz w:val="24"/>
          <w:szCs w:val="24"/>
        </w:rPr>
        <w:t>kasvu tõusu mõjutab 2020. aastal töötasu alammäära tõus ca. 8,15</w:t>
      </w:r>
      <w:r w:rsidR="001F2D83">
        <w:rPr>
          <w:sz w:val="24"/>
          <w:szCs w:val="24"/>
        </w:rPr>
        <w:t>% (kogu mahukasvust ca. 7,17%). M</w:t>
      </w:r>
      <w:r>
        <w:rPr>
          <w:sz w:val="24"/>
          <w:szCs w:val="24"/>
        </w:rPr>
        <w:t xml:space="preserve">ajandamiskulude prognoosi aluseks on </w:t>
      </w:r>
      <w:r w:rsidR="001F2D83">
        <w:rPr>
          <w:sz w:val="24"/>
          <w:szCs w:val="24"/>
        </w:rPr>
        <w:t>2020. aasta eelarve planeering ning 2021-2023. aastaks 2%</w:t>
      </w:r>
      <w:r>
        <w:rPr>
          <w:sz w:val="24"/>
          <w:szCs w:val="24"/>
        </w:rPr>
        <w:t>.</w:t>
      </w:r>
    </w:p>
    <w:p w:rsidR="009F5939" w:rsidRDefault="009F5939" w:rsidP="009F5939">
      <w:pPr>
        <w:jc w:val="both"/>
        <w:rPr>
          <w:sz w:val="24"/>
          <w:szCs w:val="24"/>
        </w:rPr>
      </w:pPr>
    </w:p>
    <w:p w:rsidR="009F5939" w:rsidRDefault="009F5939" w:rsidP="009F5939">
      <w:pPr>
        <w:jc w:val="both"/>
        <w:rPr>
          <w:sz w:val="24"/>
          <w:szCs w:val="24"/>
        </w:rPr>
      </w:pPr>
    </w:p>
    <w:p w:rsidR="009F5939" w:rsidRDefault="009F5939" w:rsidP="00FA5C8A">
      <w:pPr>
        <w:pStyle w:val="Heading1"/>
        <w:numPr>
          <w:ilvl w:val="1"/>
          <w:numId w:val="2"/>
        </w:numPr>
      </w:pPr>
      <w:bookmarkStart w:id="13" w:name="_Toc22542301"/>
      <w:r>
        <w:t>Põhitegevuse tulem</w:t>
      </w:r>
      <w:bookmarkEnd w:id="13"/>
    </w:p>
    <w:p w:rsidR="006D719C" w:rsidRDefault="006D719C" w:rsidP="00326510">
      <w:pPr>
        <w:jc w:val="both"/>
        <w:rPr>
          <w:sz w:val="24"/>
          <w:szCs w:val="24"/>
        </w:rPr>
      </w:pPr>
    </w:p>
    <w:p w:rsidR="00552835" w:rsidRDefault="009F5939" w:rsidP="00326510">
      <w:pPr>
        <w:jc w:val="both"/>
        <w:rPr>
          <w:sz w:val="24"/>
          <w:szCs w:val="24"/>
        </w:rPr>
      </w:pPr>
      <w:r>
        <w:rPr>
          <w:sz w:val="24"/>
          <w:szCs w:val="24"/>
        </w:rPr>
        <w:t>Eelarve strateegias kajastuv põhitegevus tulem on p</w:t>
      </w:r>
      <w:r w:rsidRPr="009F5939">
        <w:rPr>
          <w:sz w:val="24"/>
          <w:szCs w:val="24"/>
        </w:rPr>
        <w:t>õhitegevuse tulude eelarveosa kogusumma ja põhitegevuse kulude eelarveosa kogusumma vahe</w:t>
      </w:r>
      <w:r>
        <w:rPr>
          <w:sz w:val="24"/>
          <w:szCs w:val="24"/>
        </w:rPr>
        <w:t xml:space="preserve">, mille lubatav väärtus aasta lõpu seisuga null või positiivne. </w:t>
      </w:r>
    </w:p>
    <w:p w:rsidR="002835D1" w:rsidRDefault="002835D1" w:rsidP="00326510">
      <w:pPr>
        <w:jc w:val="both"/>
        <w:rPr>
          <w:sz w:val="24"/>
          <w:szCs w:val="24"/>
        </w:rPr>
      </w:pPr>
    </w:p>
    <w:tbl>
      <w:tblPr>
        <w:tblW w:w="10196" w:type="dxa"/>
        <w:tblCellMar>
          <w:left w:w="70" w:type="dxa"/>
          <w:right w:w="70" w:type="dxa"/>
        </w:tblCellMar>
        <w:tblLook w:val="04A0" w:firstRow="1" w:lastRow="0" w:firstColumn="1" w:lastColumn="0" w:noHBand="0" w:noVBand="1"/>
      </w:tblPr>
      <w:tblGrid>
        <w:gridCol w:w="3990"/>
        <w:gridCol w:w="1342"/>
        <w:gridCol w:w="1305"/>
        <w:gridCol w:w="1272"/>
        <w:gridCol w:w="1169"/>
        <w:gridCol w:w="1118"/>
      </w:tblGrid>
      <w:tr w:rsidR="00A00713" w:rsidRPr="00A00713" w:rsidTr="00337C6F">
        <w:trPr>
          <w:trHeight w:val="413"/>
        </w:trPr>
        <w:tc>
          <w:tcPr>
            <w:tcW w:w="3990" w:type="dxa"/>
            <w:tcBorders>
              <w:top w:val="single" w:sz="8" w:space="0" w:color="auto"/>
              <w:left w:val="single" w:sz="8" w:space="0" w:color="auto"/>
              <w:bottom w:val="single" w:sz="8" w:space="0" w:color="auto"/>
              <w:right w:val="single" w:sz="4" w:space="0" w:color="auto"/>
            </w:tcBorders>
            <w:shd w:val="clear" w:color="000000" w:fill="CCFFCC"/>
            <w:vAlign w:val="bottom"/>
            <w:hideMark/>
          </w:tcPr>
          <w:p w:rsidR="00A00713" w:rsidRPr="00A00713" w:rsidRDefault="00A00713" w:rsidP="00A00713">
            <w:pPr>
              <w:widowControl/>
              <w:autoSpaceDE/>
              <w:autoSpaceDN/>
              <w:jc w:val="center"/>
              <w:rPr>
                <w:rFonts w:ascii="Arial" w:hAnsi="Arial" w:cs="Arial"/>
                <w:b/>
                <w:bCs/>
                <w:sz w:val="20"/>
                <w:szCs w:val="20"/>
                <w:lang w:val="et-EE" w:eastAsia="et-EE"/>
              </w:rPr>
            </w:pPr>
            <w:r w:rsidRPr="00A00713">
              <w:rPr>
                <w:rFonts w:ascii="Arial" w:hAnsi="Arial" w:cs="Arial"/>
                <w:b/>
                <w:bCs/>
                <w:sz w:val="20"/>
                <w:szCs w:val="20"/>
                <w:lang w:val="et-EE" w:eastAsia="et-EE"/>
              </w:rPr>
              <w:t> </w:t>
            </w:r>
          </w:p>
        </w:tc>
        <w:tc>
          <w:tcPr>
            <w:tcW w:w="1342" w:type="dxa"/>
            <w:tcBorders>
              <w:top w:val="single" w:sz="8" w:space="0" w:color="auto"/>
              <w:left w:val="nil"/>
              <w:bottom w:val="single" w:sz="8" w:space="0" w:color="auto"/>
              <w:right w:val="single" w:sz="4" w:space="0" w:color="auto"/>
            </w:tcBorders>
            <w:shd w:val="clear" w:color="000000" w:fill="CCFFCC"/>
            <w:vAlign w:val="bottom"/>
            <w:hideMark/>
          </w:tcPr>
          <w:p w:rsidR="00A00713" w:rsidRPr="00A00713" w:rsidRDefault="00A00713" w:rsidP="00A00713">
            <w:pPr>
              <w:widowControl/>
              <w:autoSpaceDE/>
              <w:autoSpaceDN/>
              <w:jc w:val="center"/>
              <w:rPr>
                <w:rFonts w:ascii="Arial" w:hAnsi="Arial" w:cs="Arial"/>
                <w:b/>
                <w:bCs/>
                <w:sz w:val="20"/>
                <w:szCs w:val="20"/>
                <w:lang w:val="et-EE" w:eastAsia="et-EE"/>
              </w:rPr>
            </w:pPr>
            <w:r w:rsidRPr="00A00713">
              <w:rPr>
                <w:rFonts w:ascii="Arial" w:hAnsi="Arial" w:cs="Arial"/>
                <w:b/>
                <w:bCs/>
                <w:sz w:val="20"/>
                <w:szCs w:val="20"/>
                <w:lang w:val="et-EE" w:eastAsia="et-EE"/>
              </w:rPr>
              <w:t>2019 eeldatav täitmine</w:t>
            </w:r>
          </w:p>
        </w:tc>
        <w:tc>
          <w:tcPr>
            <w:tcW w:w="1305" w:type="dxa"/>
            <w:tcBorders>
              <w:top w:val="single" w:sz="8" w:space="0" w:color="auto"/>
              <w:left w:val="nil"/>
              <w:bottom w:val="single" w:sz="8" w:space="0" w:color="auto"/>
              <w:right w:val="single" w:sz="4" w:space="0" w:color="auto"/>
            </w:tcBorders>
            <w:shd w:val="clear" w:color="000000" w:fill="CCFFCC"/>
            <w:vAlign w:val="bottom"/>
            <w:hideMark/>
          </w:tcPr>
          <w:p w:rsidR="00A00713" w:rsidRPr="00A00713" w:rsidRDefault="00A00713" w:rsidP="00A00713">
            <w:pPr>
              <w:widowControl/>
              <w:autoSpaceDE/>
              <w:autoSpaceDN/>
              <w:jc w:val="center"/>
              <w:rPr>
                <w:rFonts w:ascii="Arial" w:hAnsi="Arial" w:cs="Arial"/>
                <w:b/>
                <w:bCs/>
                <w:sz w:val="20"/>
                <w:szCs w:val="20"/>
                <w:lang w:val="et-EE" w:eastAsia="et-EE"/>
              </w:rPr>
            </w:pPr>
            <w:r w:rsidRPr="00A00713">
              <w:rPr>
                <w:rFonts w:ascii="Arial" w:hAnsi="Arial" w:cs="Arial"/>
                <w:b/>
                <w:bCs/>
                <w:sz w:val="20"/>
                <w:szCs w:val="20"/>
                <w:lang w:val="et-EE" w:eastAsia="et-EE"/>
              </w:rPr>
              <w:t xml:space="preserve">2020 eelarve  </w:t>
            </w:r>
          </w:p>
        </w:tc>
        <w:tc>
          <w:tcPr>
            <w:tcW w:w="1272" w:type="dxa"/>
            <w:tcBorders>
              <w:top w:val="single" w:sz="8" w:space="0" w:color="auto"/>
              <w:left w:val="nil"/>
              <w:bottom w:val="single" w:sz="8" w:space="0" w:color="auto"/>
              <w:right w:val="single" w:sz="4" w:space="0" w:color="auto"/>
            </w:tcBorders>
            <w:shd w:val="clear" w:color="000000" w:fill="CCFFCC"/>
            <w:vAlign w:val="bottom"/>
            <w:hideMark/>
          </w:tcPr>
          <w:p w:rsidR="00A00713" w:rsidRPr="00A00713" w:rsidRDefault="00A00713" w:rsidP="00A00713">
            <w:pPr>
              <w:widowControl/>
              <w:autoSpaceDE/>
              <w:autoSpaceDN/>
              <w:jc w:val="center"/>
              <w:rPr>
                <w:rFonts w:ascii="Arial" w:hAnsi="Arial" w:cs="Arial"/>
                <w:b/>
                <w:bCs/>
                <w:sz w:val="20"/>
                <w:szCs w:val="20"/>
                <w:lang w:val="et-EE" w:eastAsia="et-EE"/>
              </w:rPr>
            </w:pPr>
            <w:r w:rsidRPr="00A00713">
              <w:rPr>
                <w:rFonts w:ascii="Arial" w:hAnsi="Arial" w:cs="Arial"/>
                <w:b/>
                <w:bCs/>
                <w:sz w:val="20"/>
                <w:szCs w:val="20"/>
                <w:lang w:val="et-EE" w:eastAsia="et-EE"/>
              </w:rPr>
              <w:t xml:space="preserve">2021 eelarve  </w:t>
            </w:r>
          </w:p>
        </w:tc>
        <w:tc>
          <w:tcPr>
            <w:tcW w:w="1169" w:type="dxa"/>
            <w:tcBorders>
              <w:top w:val="single" w:sz="8" w:space="0" w:color="auto"/>
              <w:left w:val="nil"/>
              <w:bottom w:val="single" w:sz="8" w:space="0" w:color="auto"/>
              <w:right w:val="single" w:sz="4" w:space="0" w:color="auto"/>
            </w:tcBorders>
            <w:shd w:val="clear" w:color="000000" w:fill="CCFFCC"/>
            <w:vAlign w:val="bottom"/>
            <w:hideMark/>
          </w:tcPr>
          <w:p w:rsidR="00A00713" w:rsidRPr="00A00713" w:rsidRDefault="00A00713" w:rsidP="00A00713">
            <w:pPr>
              <w:widowControl/>
              <w:autoSpaceDE/>
              <w:autoSpaceDN/>
              <w:jc w:val="center"/>
              <w:rPr>
                <w:rFonts w:ascii="Arial" w:hAnsi="Arial" w:cs="Arial"/>
                <w:b/>
                <w:bCs/>
                <w:sz w:val="20"/>
                <w:szCs w:val="20"/>
                <w:lang w:val="et-EE" w:eastAsia="et-EE"/>
              </w:rPr>
            </w:pPr>
            <w:r w:rsidRPr="00A00713">
              <w:rPr>
                <w:rFonts w:ascii="Arial" w:hAnsi="Arial" w:cs="Arial"/>
                <w:b/>
                <w:bCs/>
                <w:sz w:val="20"/>
                <w:szCs w:val="20"/>
                <w:lang w:val="et-EE" w:eastAsia="et-EE"/>
              </w:rPr>
              <w:t xml:space="preserve">2022 eelarve  </w:t>
            </w:r>
          </w:p>
        </w:tc>
        <w:tc>
          <w:tcPr>
            <w:tcW w:w="1118" w:type="dxa"/>
            <w:tcBorders>
              <w:top w:val="single" w:sz="8" w:space="0" w:color="auto"/>
              <w:left w:val="nil"/>
              <w:bottom w:val="single" w:sz="8" w:space="0" w:color="auto"/>
              <w:right w:val="single" w:sz="8" w:space="0" w:color="auto"/>
            </w:tcBorders>
            <w:shd w:val="clear" w:color="000000" w:fill="CCFFCC"/>
            <w:vAlign w:val="bottom"/>
            <w:hideMark/>
          </w:tcPr>
          <w:p w:rsidR="00A00713" w:rsidRPr="00A00713" w:rsidRDefault="00A00713" w:rsidP="00A00713">
            <w:pPr>
              <w:widowControl/>
              <w:autoSpaceDE/>
              <w:autoSpaceDN/>
              <w:jc w:val="center"/>
              <w:rPr>
                <w:rFonts w:ascii="Arial" w:hAnsi="Arial" w:cs="Arial"/>
                <w:b/>
                <w:bCs/>
                <w:sz w:val="20"/>
                <w:szCs w:val="20"/>
                <w:lang w:val="et-EE" w:eastAsia="et-EE"/>
              </w:rPr>
            </w:pPr>
            <w:r w:rsidRPr="00A00713">
              <w:rPr>
                <w:rFonts w:ascii="Arial" w:hAnsi="Arial" w:cs="Arial"/>
                <w:b/>
                <w:bCs/>
                <w:sz w:val="20"/>
                <w:szCs w:val="20"/>
                <w:lang w:val="et-EE" w:eastAsia="et-EE"/>
              </w:rPr>
              <w:t xml:space="preserve">2023 eelarve  </w:t>
            </w:r>
          </w:p>
        </w:tc>
      </w:tr>
      <w:tr w:rsidR="007C71B3" w:rsidRPr="00A00713" w:rsidTr="00337C6F">
        <w:trPr>
          <w:trHeight w:val="96"/>
        </w:trPr>
        <w:tc>
          <w:tcPr>
            <w:tcW w:w="3990" w:type="dxa"/>
            <w:tcBorders>
              <w:top w:val="single" w:sz="8" w:space="0" w:color="auto"/>
              <w:left w:val="single" w:sz="8" w:space="0" w:color="auto"/>
              <w:bottom w:val="single" w:sz="4" w:space="0" w:color="auto"/>
              <w:right w:val="nil"/>
            </w:tcBorders>
            <w:shd w:val="clear" w:color="auto" w:fill="auto"/>
            <w:noWrap/>
            <w:vAlign w:val="bottom"/>
            <w:hideMark/>
          </w:tcPr>
          <w:p w:rsidR="007C71B3" w:rsidRPr="00A00713" w:rsidRDefault="007C71B3" w:rsidP="007C71B3">
            <w:pPr>
              <w:widowControl/>
              <w:autoSpaceDE/>
              <w:autoSpaceDN/>
              <w:rPr>
                <w:rFonts w:ascii="Arial" w:hAnsi="Arial" w:cs="Arial"/>
                <w:b/>
                <w:bCs/>
                <w:sz w:val="20"/>
                <w:szCs w:val="20"/>
                <w:lang w:val="et-EE" w:eastAsia="et-EE"/>
              </w:rPr>
            </w:pPr>
            <w:r w:rsidRPr="00A00713">
              <w:rPr>
                <w:rFonts w:ascii="Arial" w:hAnsi="Arial" w:cs="Arial"/>
                <w:b/>
                <w:bCs/>
                <w:sz w:val="20"/>
                <w:szCs w:val="20"/>
                <w:lang w:val="et-EE" w:eastAsia="et-EE"/>
              </w:rPr>
              <w:t>Põhitegevuse tulem</w:t>
            </w:r>
          </w:p>
        </w:tc>
        <w:tc>
          <w:tcPr>
            <w:tcW w:w="1342" w:type="dxa"/>
            <w:tcBorders>
              <w:top w:val="nil"/>
              <w:left w:val="single" w:sz="4" w:space="0" w:color="auto"/>
              <w:bottom w:val="single" w:sz="4" w:space="0" w:color="auto"/>
              <w:right w:val="single" w:sz="4" w:space="0" w:color="auto"/>
            </w:tcBorders>
            <w:shd w:val="clear" w:color="000000" w:fill="C0C0C0"/>
            <w:vAlign w:val="bottom"/>
            <w:hideMark/>
          </w:tcPr>
          <w:p w:rsidR="007C71B3" w:rsidRDefault="007C71B3" w:rsidP="007C71B3">
            <w:pPr>
              <w:jc w:val="right"/>
              <w:rPr>
                <w:rFonts w:ascii="Arial" w:hAnsi="Arial" w:cs="Arial"/>
                <w:b/>
                <w:bCs/>
                <w:sz w:val="20"/>
                <w:szCs w:val="20"/>
                <w:lang w:val="et-EE" w:eastAsia="et-EE"/>
              </w:rPr>
            </w:pPr>
            <w:r>
              <w:rPr>
                <w:rFonts w:ascii="Arial" w:hAnsi="Arial" w:cs="Arial"/>
                <w:b/>
                <w:bCs/>
                <w:sz w:val="20"/>
                <w:szCs w:val="20"/>
              </w:rPr>
              <w:t>474 049</w:t>
            </w:r>
          </w:p>
        </w:tc>
        <w:tc>
          <w:tcPr>
            <w:tcW w:w="1305" w:type="dxa"/>
            <w:tcBorders>
              <w:top w:val="nil"/>
              <w:left w:val="nil"/>
              <w:bottom w:val="single" w:sz="4" w:space="0" w:color="auto"/>
              <w:right w:val="single" w:sz="4" w:space="0" w:color="auto"/>
            </w:tcBorders>
            <w:shd w:val="clear" w:color="auto" w:fill="auto"/>
            <w:vAlign w:val="bottom"/>
            <w:hideMark/>
          </w:tcPr>
          <w:p w:rsidR="007C71B3" w:rsidRDefault="007C71B3" w:rsidP="007C71B3">
            <w:pPr>
              <w:jc w:val="right"/>
              <w:rPr>
                <w:rFonts w:ascii="Arial" w:hAnsi="Arial" w:cs="Arial"/>
                <w:b/>
                <w:bCs/>
                <w:sz w:val="20"/>
                <w:szCs w:val="20"/>
              </w:rPr>
            </w:pPr>
            <w:r>
              <w:rPr>
                <w:rFonts w:ascii="Arial" w:hAnsi="Arial" w:cs="Arial"/>
                <w:b/>
                <w:bCs/>
                <w:sz w:val="20"/>
                <w:szCs w:val="20"/>
              </w:rPr>
              <w:t>567 451</w:t>
            </w:r>
          </w:p>
        </w:tc>
        <w:tc>
          <w:tcPr>
            <w:tcW w:w="1272" w:type="dxa"/>
            <w:tcBorders>
              <w:top w:val="nil"/>
              <w:left w:val="nil"/>
              <w:bottom w:val="single" w:sz="4" w:space="0" w:color="auto"/>
              <w:right w:val="single" w:sz="4" w:space="0" w:color="auto"/>
            </w:tcBorders>
            <w:shd w:val="clear" w:color="auto" w:fill="auto"/>
            <w:vAlign w:val="bottom"/>
            <w:hideMark/>
          </w:tcPr>
          <w:p w:rsidR="007C71B3" w:rsidRDefault="007C71B3" w:rsidP="007C71B3">
            <w:pPr>
              <w:jc w:val="right"/>
              <w:rPr>
                <w:rFonts w:ascii="Arial" w:hAnsi="Arial" w:cs="Arial"/>
                <w:b/>
                <w:bCs/>
                <w:sz w:val="20"/>
                <w:szCs w:val="20"/>
              </w:rPr>
            </w:pPr>
            <w:r>
              <w:rPr>
                <w:rFonts w:ascii="Arial" w:hAnsi="Arial" w:cs="Arial"/>
                <w:b/>
                <w:bCs/>
                <w:sz w:val="20"/>
                <w:szCs w:val="20"/>
              </w:rPr>
              <w:t>712 854</w:t>
            </w:r>
          </w:p>
        </w:tc>
        <w:tc>
          <w:tcPr>
            <w:tcW w:w="1169" w:type="dxa"/>
            <w:tcBorders>
              <w:top w:val="nil"/>
              <w:left w:val="nil"/>
              <w:bottom w:val="single" w:sz="4" w:space="0" w:color="auto"/>
              <w:right w:val="single" w:sz="4" w:space="0" w:color="auto"/>
            </w:tcBorders>
            <w:shd w:val="clear" w:color="auto" w:fill="auto"/>
            <w:vAlign w:val="bottom"/>
            <w:hideMark/>
          </w:tcPr>
          <w:p w:rsidR="007C71B3" w:rsidRDefault="007C71B3" w:rsidP="007C71B3">
            <w:pPr>
              <w:jc w:val="right"/>
              <w:rPr>
                <w:rFonts w:ascii="Arial" w:hAnsi="Arial" w:cs="Arial"/>
                <w:b/>
                <w:bCs/>
                <w:sz w:val="20"/>
                <w:szCs w:val="20"/>
              </w:rPr>
            </w:pPr>
            <w:r>
              <w:rPr>
                <w:rFonts w:ascii="Arial" w:hAnsi="Arial" w:cs="Arial"/>
                <w:b/>
                <w:bCs/>
                <w:sz w:val="20"/>
                <w:szCs w:val="20"/>
              </w:rPr>
              <w:t>867 028</w:t>
            </w:r>
          </w:p>
        </w:tc>
        <w:tc>
          <w:tcPr>
            <w:tcW w:w="1118" w:type="dxa"/>
            <w:tcBorders>
              <w:top w:val="nil"/>
              <w:left w:val="nil"/>
              <w:bottom w:val="single" w:sz="4" w:space="0" w:color="auto"/>
              <w:right w:val="single" w:sz="8" w:space="0" w:color="auto"/>
            </w:tcBorders>
            <w:shd w:val="clear" w:color="auto" w:fill="auto"/>
            <w:vAlign w:val="bottom"/>
            <w:hideMark/>
          </w:tcPr>
          <w:p w:rsidR="007C71B3" w:rsidRDefault="007C71B3" w:rsidP="007C71B3">
            <w:pPr>
              <w:jc w:val="right"/>
              <w:rPr>
                <w:rFonts w:ascii="Arial" w:hAnsi="Arial" w:cs="Arial"/>
                <w:b/>
                <w:bCs/>
                <w:sz w:val="20"/>
                <w:szCs w:val="20"/>
              </w:rPr>
            </w:pPr>
            <w:r>
              <w:rPr>
                <w:rFonts w:ascii="Arial" w:hAnsi="Arial" w:cs="Arial"/>
                <w:b/>
                <w:bCs/>
                <w:sz w:val="20"/>
                <w:szCs w:val="20"/>
              </w:rPr>
              <w:t>1 037 031</w:t>
            </w:r>
          </w:p>
        </w:tc>
      </w:tr>
    </w:tbl>
    <w:p w:rsidR="009F5939" w:rsidRDefault="009F5939" w:rsidP="00326510">
      <w:pPr>
        <w:jc w:val="both"/>
        <w:rPr>
          <w:sz w:val="24"/>
          <w:szCs w:val="24"/>
        </w:rPr>
      </w:pPr>
    </w:p>
    <w:p w:rsidR="009F5939" w:rsidRDefault="009F5939" w:rsidP="00326510">
      <w:pPr>
        <w:jc w:val="both"/>
        <w:rPr>
          <w:sz w:val="24"/>
          <w:szCs w:val="24"/>
        </w:rPr>
      </w:pPr>
    </w:p>
    <w:p w:rsidR="00534B25" w:rsidRDefault="00534B25" w:rsidP="00326510">
      <w:pPr>
        <w:jc w:val="both"/>
        <w:rPr>
          <w:sz w:val="24"/>
          <w:szCs w:val="24"/>
        </w:rPr>
      </w:pPr>
    </w:p>
    <w:p w:rsidR="00534B25" w:rsidRDefault="00534B25" w:rsidP="00326510">
      <w:pPr>
        <w:jc w:val="both"/>
        <w:rPr>
          <w:sz w:val="24"/>
          <w:szCs w:val="24"/>
        </w:rPr>
      </w:pPr>
    </w:p>
    <w:p w:rsidR="00534B25" w:rsidRPr="009F5939" w:rsidRDefault="00534B25" w:rsidP="00326510">
      <w:pPr>
        <w:jc w:val="both"/>
        <w:rPr>
          <w:sz w:val="24"/>
          <w:szCs w:val="24"/>
        </w:rPr>
      </w:pPr>
    </w:p>
    <w:p w:rsidR="006D719C" w:rsidRPr="00FA5C8A" w:rsidRDefault="00552835" w:rsidP="00FA5C8A">
      <w:pPr>
        <w:pStyle w:val="Heading1"/>
        <w:numPr>
          <w:ilvl w:val="1"/>
          <w:numId w:val="2"/>
        </w:numPr>
        <w:rPr>
          <w:sz w:val="24"/>
          <w:szCs w:val="24"/>
        </w:rPr>
      </w:pPr>
      <w:bookmarkStart w:id="14" w:name="_Toc529432887"/>
      <w:bookmarkStart w:id="15" w:name="_Toc22542302"/>
      <w:r w:rsidRPr="00FA5C8A">
        <w:lastRenderedPageBreak/>
        <w:t>Investeerimistegevus</w:t>
      </w:r>
      <w:bookmarkEnd w:id="14"/>
      <w:bookmarkEnd w:id="15"/>
    </w:p>
    <w:p w:rsidR="00552835" w:rsidRDefault="00552835" w:rsidP="00326510">
      <w:pPr>
        <w:jc w:val="both"/>
        <w:rPr>
          <w:sz w:val="24"/>
          <w:szCs w:val="24"/>
        </w:rPr>
      </w:pPr>
    </w:p>
    <w:p w:rsidR="006D719C" w:rsidRPr="009F6F14" w:rsidRDefault="00E82AF1" w:rsidP="00A27A28">
      <w:pPr>
        <w:jc w:val="both"/>
        <w:rPr>
          <w:sz w:val="24"/>
          <w:szCs w:val="24"/>
        </w:rPr>
      </w:pPr>
      <w:r w:rsidRPr="009F6F14">
        <w:rPr>
          <w:sz w:val="24"/>
          <w:szCs w:val="24"/>
        </w:rPr>
        <w:t>Eelarvestrateegias kajastatakse investeerimistegevuse eelarveosa olulisemad tegevused ja investeeringud koos kogumaksumuse prognoosi ja võimalike finantseerimisallikatega. Investeeringute finantseerimiseks on võimalik kasutada kolme allikat: omavahendid, laen ja toetused. Üldjuhul nõuavad toetused omaosaluse olemasolu. Eelarvestrateegia koostamisel on lähtutud arengukava tegevuskavas planeeritud investeeringutest. Investeerimistegevusse on prognoositud ka finantskulud (laenude intressid ja muud finantskulud) ja põhivara soetuseks antavad sihtfinantseeringud.</w:t>
      </w:r>
    </w:p>
    <w:p w:rsidR="00C9099F" w:rsidRDefault="00C9099F" w:rsidP="00326510">
      <w:pPr>
        <w:jc w:val="both"/>
        <w:rPr>
          <w:sz w:val="24"/>
          <w:szCs w:val="24"/>
        </w:rPr>
      </w:pPr>
    </w:p>
    <w:tbl>
      <w:tblPr>
        <w:tblW w:w="10183" w:type="dxa"/>
        <w:tblCellMar>
          <w:left w:w="70" w:type="dxa"/>
          <w:right w:w="70" w:type="dxa"/>
        </w:tblCellMar>
        <w:tblLook w:val="04A0" w:firstRow="1" w:lastRow="0" w:firstColumn="1" w:lastColumn="0" w:noHBand="0" w:noVBand="1"/>
      </w:tblPr>
      <w:tblGrid>
        <w:gridCol w:w="3958"/>
        <w:gridCol w:w="1332"/>
        <w:gridCol w:w="1294"/>
        <w:gridCol w:w="1262"/>
        <w:gridCol w:w="1160"/>
        <w:gridCol w:w="1177"/>
      </w:tblGrid>
      <w:tr w:rsidR="002835D1" w:rsidRPr="002835D1" w:rsidTr="00E57359">
        <w:trPr>
          <w:trHeight w:val="811"/>
        </w:trPr>
        <w:tc>
          <w:tcPr>
            <w:tcW w:w="3958" w:type="dxa"/>
            <w:tcBorders>
              <w:top w:val="single" w:sz="8" w:space="0" w:color="auto"/>
              <w:left w:val="single" w:sz="8" w:space="0" w:color="auto"/>
              <w:bottom w:val="single" w:sz="8" w:space="0" w:color="auto"/>
              <w:right w:val="single" w:sz="4" w:space="0" w:color="auto"/>
            </w:tcBorders>
            <w:shd w:val="clear" w:color="auto" w:fill="CCFFCC"/>
            <w:vAlign w:val="bottom"/>
            <w:hideMark/>
          </w:tcPr>
          <w:p w:rsidR="002835D1" w:rsidRPr="002835D1" w:rsidRDefault="002835D1" w:rsidP="002835D1">
            <w:pPr>
              <w:widowControl/>
              <w:autoSpaceDE/>
              <w:autoSpaceDN/>
              <w:jc w:val="center"/>
              <w:rPr>
                <w:rFonts w:ascii="Arial" w:hAnsi="Arial" w:cs="Arial"/>
                <w:b/>
                <w:bCs/>
                <w:sz w:val="20"/>
                <w:szCs w:val="20"/>
                <w:lang w:val="et-EE" w:eastAsia="et-EE"/>
              </w:rPr>
            </w:pPr>
            <w:r w:rsidRPr="002835D1">
              <w:rPr>
                <w:rFonts w:ascii="Arial" w:hAnsi="Arial" w:cs="Arial"/>
                <w:b/>
                <w:bCs/>
                <w:sz w:val="20"/>
                <w:szCs w:val="20"/>
                <w:lang w:val="et-EE" w:eastAsia="et-EE"/>
              </w:rPr>
              <w:t> </w:t>
            </w:r>
          </w:p>
        </w:tc>
        <w:tc>
          <w:tcPr>
            <w:tcW w:w="1332" w:type="dxa"/>
            <w:tcBorders>
              <w:top w:val="single" w:sz="8" w:space="0" w:color="auto"/>
              <w:left w:val="nil"/>
              <w:bottom w:val="single" w:sz="8" w:space="0" w:color="auto"/>
              <w:right w:val="single" w:sz="4" w:space="0" w:color="auto"/>
            </w:tcBorders>
            <w:shd w:val="clear" w:color="auto" w:fill="CCFFCC"/>
            <w:vAlign w:val="bottom"/>
            <w:hideMark/>
          </w:tcPr>
          <w:p w:rsidR="002835D1" w:rsidRPr="002835D1" w:rsidRDefault="002835D1" w:rsidP="002835D1">
            <w:pPr>
              <w:widowControl/>
              <w:autoSpaceDE/>
              <w:autoSpaceDN/>
              <w:jc w:val="center"/>
              <w:rPr>
                <w:rFonts w:ascii="Arial" w:hAnsi="Arial" w:cs="Arial"/>
                <w:b/>
                <w:bCs/>
                <w:sz w:val="20"/>
                <w:szCs w:val="20"/>
                <w:lang w:val="et-EE" w:eastAsia="et-EE"/>
              </w:rPr>
            </w:pPr>
            <w:r w:rsidRPr="002835D1">
              <w:rPr>
                <w:rFonts w:ascii="Arial" w:hAnsi="Arial" w:cs="Arial"/>
                <w:b/>
                <w:bCs/>
                <w:sz w:val="20"/>
                <w:szCs w:val="20"/>
                <w:lang w:val="et-EE" w:eastAsia="et-EE"/>
              </w:rPr>
              <w:t>2019 eeldatav täitmine</w:t>
            </w:r>
          </w:p>
        </w:tc>
        <w:tc>
          <w:tcPr>
            <w:tcW w:w="1294" w:type="dxa"/>
            <w:tcBorders>
              <w:top w:val="single" w:sz="8" w:space="0" w:color="auto"/>
              <w:left w:val="nil"/>
              <w:bottom w:val="single" w:sz="8" w:space="0" w:color="auto"/>
              <w:right w:val="single" w:sz="4" w:space="0" w:color="auto"/>
            </w:tcBorders>
            <w:shd w:val="clear" w:color="000000" w:fill="CCFFCC"/>
            <w:vAlign w:val="bottom"/>
            <w:hideMark/>
          </w:tcPr>
          <w:p w:rsidR="002835D1" w:rsidRPr="002835D1" w:rsidRDefault="002835D1" w:rsidP="002835D1">
            <w:pPr>
              <w:widowControl/>
              <w:autoSpaceDE/>
              <w:autoSpaceDN/>
              <w:jc w:val="center"/>
              <w:rPr>
                <w:rFonts w:ascii="Arial" w:hAnsi="Arial" w:cs="Arial"/>
                <w:b/>
                <w:bCs/>
                <w:sz w:val="20"/>
                <w:szCs w:val="20"/>
                <w:lang w:val="et-EE" w:eastAsia="et-EE"/>
              </w:rPr>
            </w:pPr>
            <w:r w:rsidRPr="002835D1">
              <w:rPr>
                <w:rFonts w:ascii="Arial" w:hAnsi="Arial" w:cs="Arial"/>
                <w:b/>
                <w:bCs/>
                <w:sz w:val="20"/>
                <w:szCs w:val="20"/>
                <w:lang w:val="et-EE" w:eastAsia="et-EE"/>
              </w:rPr>
              <w:t xml:space="preserve">2020 eelarve  </w:t>
            </w:r>
          </w:p>
        </w:tc>
        <w:tc>
          <w:tcPr>
            <w:tcW w:w="1262" w:type="dxa"/>
            <w:tcBorders>
              <w:top w:val="single" w:sz="8" w:space="0" w:color="auto"/>
              <w:left w:val="nil"/>
              <w:bottom w:val="single" w:sz="8" w:space="0" w:color="auto"/>
              <w:right w:val="single" w:sz="4" w:space="0" w:color="auto"/>
            </w:tcBorders>
            <w:shd w:val="clear" w:color="000000" w:fill="CCFFCC"/>
            <w:vAlign w:val="bottom"/>
            <w:hideMark/>
          </w:tcPr>
          <w:p w:rsidR="002835D1" w:rsidRPr="002835D1" w:rsidRDefault="002835D1" w:rsidP="002835D1">
            <w:pPr>
              <w:widowControl/>
              <w:autoSpaceDE/>
              <w:autoSpaceDN/>
              <w:jc w:val="center"/>
              <w:rPr>
                <w:rFonts w:ascii="Arial" w:hAnsi="Arial" w:cs="Arial"/>
                <w:b/>
                <w:bCs/>
                <w:sz w:val="20"/>
                <w:szCs w:val="20"/>
                <w:lang w:val="et-EE" w:eastAsia="et-EE"/>
              </w:rPr>
            </w:pPr>
            <w:r w:rsidRPr="002835D1">
              <w:rPr>
                <w:rFonts w:ascii="Arial" w:hAnsi="Arial" w:cs="Arial"/>
                <w:b/>
                <w:bCs/>
                <w:sz w:val="20"/>
                <w:szCs w:val="20"/>
                <w:lang w:val="et-EE" w:eastAsia="et-EE"/>
              </w:rPr>
              <w:t xml:space="preserve">2021 eelarve  </w:t>
            </w:r>
          </w:p>
        </w:tc>
        <w:tc>
          <w:tcPr>
            <w:tcW w:w="1160" w:type="dxa"/>
            <w:tcBorders>
              <w:top w:val="single" w:sz="8" w:space="0" w:color="auto"/>
              <w:left w:val="nil"/>
              <w:bottom w:val="single" w:sz="8" w:space="0" w:color="auto"/>
              <w:right w:val="single" w:sz="4" w:space="0" w:color="auto"/>
            </w:tcBorders>
            <w:shd w:val="clear" w:color="000000" w:fill="CCFFCC"/>
            <w:vAlign w:val="bottom"/>
            <w:hideMark/>
          </w:tcPr>
          <w:p w:rsidR="002835D1" w:rsidRPr="002835D1" w:rsidRDefault="002835D1" w:rsidP="002835D1">
            <w:pPr>
              <w:widowControl/>
              <w:autoSpaceDE/>
              <w:autoSpaceDN/>
              <w:jc w:val="center"/>
              <w:rPr>
                <w:rFonts w:ascii="Arial" w:hAnsi="Arial" w:cs="Arial"/>
                <w:b/>
                <w:bCs/>
                <w:sz w:val="20"/>
                <w:szCs w:val="20"/>
                <w:lang w:val="et-EE" w:eastAsia="et-EE"/>
              </w:rPr>
            </w:pPr>
            <w:r w:rsidRPr="002835D1">
              <w:rPr>
                <w:rFonts w:ascii="Arial" w:hAnsi="Arial" w:cs="Arial"/>
                <w:b/>
                <w:bCs/>
                <w:sz w:val="20"/>
                <w:szCs w:val="20"/>
                <w:lang w:val="et-EE" w:eastAsia="et-EE"/>
              </w:rPr>
              <w:t xml:space="preserve">2022 eelarve  </w:t>
            </w:r>
          </w:p>
        </w:tc>
        <w:tc>
          <w:tcPr>
            <w:tcW w:w="1177" w:type="dxa"/>
            <w:tcBorders>
              <w:top w:val="single" w:sz="8" w:space="0" w:color="auto"/>
              <w:left w:val="nil"/>
              <w:bottom w:val="single" w:sz="8" w:space="0" w:color="auto"/>
              <w:right w:val="single" w:sz="8" w:space="0" w:color="auto"/>
            </w:tcBorders>
            <w:shd w:val="clear" w:color="000000" w:fill="CCFFCC"/>
            <w:vAlign w:val="bottom"/>
            <w:hideMark/>
          </w:tcPr>
          <w:p w:rsidR="002835D1" w:rsidRPr="002835D1" w:rsidRDefault="002835D1" w:rsidP="002835D1">
            <w:pPr>
              <w:widowControl/>
              <w:autoSpaceDE/>
              <w:autoSpaceDN/>
              <w:jc w:val="center"/>
              <w:rPr>
                <w:rFonts w:ascii="Arial" w:hAnsi="Arial" w:cs="Arial"/>
                <w:b/>
                <w:bCs/>
                <w:sz w:val="20"/>
                <w:szCs w:val="20"/>
                <w:lang w:val="et-EE" w:eastAsia="et-EE"/>
              </w:rPr>
            </w:pPr>
            <w:r w:rsidRPr="002835D1">
              <w:rPr>
                <w:rFonts w:ascii="Arial" w:hAnsi="Arial" w:cs="Arial"/>
                <w:b/>
                <w:bCs/>
                <w:sz w:val="20"/>
                <w:szCs w:val="20"/>
                <w:lang w:val="et-EE" w:eastAsia="et-EE"/>
              </w:rPr>
              <w:t xml:space="preserve">2023 eelarve  </w:t>
            </w:r>
          </w:p>
        </w:tc>
      </w:tr>
      <w:tr w:rsidR="007C71B3" w:rsidRPr="002835D1" w:rsidTr="001755F4">
        <w:trPr>
          <w:trHeight w:val="188"/>
        </w:trPr>
        <w:tc>
          <w:tcPr>
            <w:tcW w:w="395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C71B3" w:rsidRPr="002835D1" w:rsidRDefault="007C71B3" w:rsidP="007C71B3">
            <w:pPr>
              <w:widowControl/>
              <w:autoSpaceDE/>
              <w:autoSpaceDN/>
              <w:rPr>
                <w:rFonts w:ascii="Arial" w:hAnsi="Arial" w:cs="Arial"/>
                <w:b/>
                <w:bCs/>
                <w:sz w:val="20"/>
                <w:szCs w:val="20"/>
                <w:lang w:val="et-EE" w:eastAsia="et-EE"/>
              </w:rPr>
            </w:pPr>
            <w:r w:rsidRPr="002835D1">
              <w:rPr>
                <w:rFonts w:ascii="Arial" w:hAnsi="Arial" w:cs="Arial"/>
                <w:b/>
                <w:bCs/>
                <w:sz w:val="20"/>
                <w:szCs w:val="20"/>
                <w:lang w:val="et-EE" w:eastAsia="et-EE"/>
              </w:rPr>
              <w:t>Investeerimistegevus kokku</w:t>
            </w:r>
          </w:p>
        </w:tc>
        <w:tc>
          <w:tcPr>
            <w:tcW w:w="1332" w:type="dxa"/>
            <w:tcBorders>
              <w:top w:val="nil"/>
              <w:left w:val="single" w:sz="4" w:space="0" w:color="auto"/>
              <w:bottom w:val="single" w:sz="4" w:space="0" w:color="auto"/>
              <w:right w:val="nil"/>
            </w:tcBorders>
            <w:shd w:val="clear" w:color="000000" w:fill="C0C0C0"/>
            <w:vAlign w:val="bottom"/>
            <w:hideMark/>
          </w:tcPr>
          <w:p w:rsidR="007C71B3" w:rsidRDefault="007C71B3" w:rsidP="007C71B3">
            <w:pPr>
              <w:jc w:val="right"/>
              <w:rPr>
                <w:rFonts w:ascii="Arial" w:hAnsi="Arial" w:cs="Arial"/>
                <w:b/>
                <w:bCs/>
                <w:sz w:val="20"/>
                <w:szCs w:val="20"/>
                <w:lang w:val="et-EE" w:eastAsia="et-EE"/>
              </w:rPr>
            </w:pPr>
            <w:r>
              <w:rPr>
                <w:rFonts w:ascii="Arial" w:hAnsi="Arial" w:cs="Arial"/>
                <w:b/>
                <w:bCs/>
                <w:sz w:val="20"/>
                <w:szCs w:val="20"/>
              </w:rPr>
              <w:t>-1 308 896</w:t>
            </w:r>
          </w:p>
        </w:tc>
        <w:tc>
          <w:tcPr>
            <w:tcW w:w="1294" w:type="dxa"/>
            <w:tcBorders>
              <w:top w:val="nil"/>
              <w:left w:val="single" w:sz="4" w:space="0" w:color="auto"/>
              <w:bottom w:val="single" w:sz="4" w:space="0" w:color="auto"/>
              <w:right w:val="nil"/>
            </w:tcBorders>
            <w:shd w:val="clear" w:color="000000" w:fill="C0C0C0"/>
            <w:vAlign w:val="bottom"/>
            <w:hideMark/>
          </w:tcPr>
          <w:p w:rsidR="007C71B3" w:rsidRDefault="007C71B3" w:rsidP="007C71B3">
            <w:pPr>
              <w:jc w:val="right"/>
              <w:rPr>
                <w:rFonts w:ascii="Arial" w:hAnsi="Arial" w:cs="Arial"/>
                <w:b/>
                <w:bCs/>
                <w:sz w:val="20"/>
                <w:szCs w:val="20"/>
              </w:rPr>
            </w:pPr>
            <w:r>
              <w:rPr>
                <w:rFonts w:ascii="Arial" w:hAnsi="Arial" w:cs="Arial"/>
                <w:b/>
                <w:bCs/>
                <w:sz w:val="20"/>
                <w:szCs w:val="20"/>
              </w:rPr>
              <w:t>-2 180 307</w:t>
            </w:r>
          </w:p>
        </w:tc>
        <w:tc>
          <w:tcPr>
            <w:tcW w:w="1262" w:type="dxa"/>
            <w:tcBorders>
              <w:top w:val="nil"/>
              <w:left w:val="single" w:sz="4" w:space="0" w:color="auto"/>
              <w:bottom w:val="single" w:sz="4" w:space="0" w:color="auto"/>
              <w:right w:val="nil"/>
            </w:tcBorders>
            <w:shd w:val="clear" w:color="000000" w:fill="C0C0C0"/>
            <w:vAlign w:val="bottom"/>
            <w:hideMark/>
          </w:tcPr>
          <w:p w:rsidR="007C71B3" w:rsidRDefault="007C71B3" w:rsidP="007C71B3">
            <w:pPr>
              <w:jc w:val="right"/>
              <w:rPr>
                <w:rFonts w:ascii="Arial" w:hAnsi="Arial" w:cs="Arial"/>
                <w:b/>
                <w:bCs/>
                <w:sz w:val="20"/>
                <w:szCs w:val="20"/>
              </w:rPr>
            </w:pPr>
            <w:r>
              <w:rPr>
                <w:rFonts w:ascii="Arial" w:hAnsi="Arial" w:cs="Arial"/>
                <w:b/>
                <w:bCs/>
                <w:sz w:val="20"/>
                <w:szCs w:val="20"/>
              </w:rPr>
              <w:t>-1 407 672</w:t>
            </w:r>
          </w:p>
        </w:tc>
        <w:tc>
          <w:tcPr>
            <w:tcW w:w="1160" w:type="dxa"/>
            <w:tcBorders>
              <w:top w:val="nil"/>
              <w:left w:val="single" w:sz="4" w:space="0" w:color="auto"/>
              <w:bottom w:val="single" w:sz="4" w:space="0" w:color="auto"/>
              <w:right w:val="nil"/>
            </w:tcBorders>
            <w:shd w:val="clear" w:color="000000" w:fill="C0C0C0"/>
            <w:vAlign w:val="bottom"/>
            <w:hideMark/>
          </w:tcPr>
          <w:p w:rsidR="007C71B3" w:rsidRDefault="007C71B3" w:rsidP="007C71B3">
            <w:pPr>
              <w:jc w:val="right"/>
              <w:rPr>
                <w:rFonts w:ascii="Arial" w:hAnsi="Arial" w:cs="Arial"/>
                <w:b/>
                <w:bCs/>
                <w:sz w:val="20"/>
                <w:szCs w:val="20"/>
              </w:rPr>
            </w:pPr>
            <w:r>
              <w:rPr>
                <w:rFonts w:ascii="Arial" w:hAnsi="Arial" w:cs="Arial"/>
                <w:b/>
                <w:bCs/>
                <w:sz w:val="20"/>
                <w:szCs w:val="20"/>
              </w:rPr>
              <w:t>-462 194</w:t>
            </w:r>
          </w:p>
        </w:tc>
        <w:tc>
          <w:tcPr>
            <w:tcW w:w="1177" w:type="dxa"/>
            <w:tcBorders>
              <w:top w:val="nil"/>
              <w:left w:val="single" w:sz="4" w:space="0" w:color="auto"/>
              <w:bottom w:val="single" w:sz="4" w:space="0" w:color="auto"/>
              <w:right w:val="single" w:sz="8" w:space="0" w:color="auto"/>
            </w:tcBorders>
            <w:shd w:val="clear" w:color="000000" w:fill="C0C0C0"/>
            <w:vAlign w:val="bottom"/>
            <w:hideMark/>
          </w:tcPr>
          <w:p w:rsidR="007C71B3" w:rsidRDefault="007C71B3" w:rsidP="007C71B3">
            <w:pPr>
              <w:jc w:val="right"/>
              <w:rPr>
                <w:rFonts w:ascii="Arial" w:hAnsi="Arial" w:cs="Arial"/>
                <w:b/>
                <w:bCs/>
                <w:sz w:val="20"/>
                <w:szCs w:val="20"/>
              </w:rPr>
            </w:pPr>
            <w:r>
              <w:rPr>
                <w:rFonts w:ascii="Arial" w:hAnsi="Arial" w:cs="Arial"/>
                <w:b/>
                <w:bCs/>
                <w:sz w:val="20"/>
                <w:szCs w:val="20"/>
              </w:rPr>
              <w:t>-580 186</w:t>
            </w:r>
          </w:p>
        </w:tc>
      </w:tr>
      <w:tr w:rsidR="007C71B3" w:rsidRPr="002835D1" w:rsidTr="001755F4">
        <w:trPr>
          <w:trHeight w:val="188"/>
        </w:trPr>
        <w:tc>
          <w:tcPr>
            <w:tcW w:w="3958" w:type="dxa"/>
            <w:tcBorders>
              <w:top w:val="nil"/>
              <w:left w:val="single" w:sz="8" w:space="0" w:color="auto"/>
              <w:bottom w:val="single" w:sz="4" w:space="0" w:color="auto"/>
              <w:right w:val="single" w:sz="4" w:space="0" w:color="auto"/>
            </w:tcBorders>
            <w:shd w:val="clear" w:color="auto" w:fill="auto"/>
            <w:vAlign w:val="bottom"/>
            <w:hideMark/>
          </w:tcPr>
          <w:p w:rsidR="007C71B3" w:rsidRPr="002835D1" w:rsidRDefault="007C71B3" w:rsidP="007C71B3">
            <w:pPr>
              <w:widowControl/>
              <w:autoSpaceDE/>
              <w:autoSpaceDN/>
              <w:rPr>
                <w:rFonts w:ascii="Arial" w:hAnsi="Arial" w:cs="Arial"/>
                <w:sz w:val="16"/>
                <w:szCs w:val="16"/>
                <w:lang w:val="et-EE" w:eastAsia="et-EE"/>
              </w:rPr>
            </w:pPr>
            <w:r w:rsidRPr="002835D1">
              <w:rPr>
                <w:rFonts w:ascii="Arial" w:hAnsi="Arial" w:cs="Arial"/>
                <w:sz w:val="16"/>
                <w:szCs w:val="16"/>
                <w:lang w:val="et-EE" w:eastAsia="et-EE"/>
              </w:rPr>
              <w:t xml:space="preserve">    Põhivara müük (+)</w:t>
            </w:r>
          </w:p>
        </w:tc>
        <w:tc>
          <w:tcPr>
            <w:tcW w:w="1332" w:type="dxa"/>
            <w:tcBorders>
              <w:top w:val="nil"/>
              <w:left w:val="single" w:sz="4" w:space="0" w:color="auto"/>
              <w:bottom w:val="single" w:sz="4" w:space="0" w:color="auto"/>
              <w:right w:val="nil"/>
            </w:tcBorders>
            <w:shd w:val="clear" w:color="000000" w:fill="969696"/>
            <w:vAlign w:val="bottom"/>
            <w:hideMark/>
          </w:tcPr>
          <w:p w:rsidR="007C71B3" w:rsidRDefault="007C71B3" w:rsidP="007C71B3">
            <w:pPr>
              <w:jc w:val="right"/>
              <w:rPr>
                <w:rFonts w:ascii="Arial" w:hAnsi="Arial" w:cs="Arial"/>
                <w:sz w:val="20"/>
                <w:szCs w:val="20"/>
              </w:rPr>
            </w:pPr>
            <w:r>
              <w:rPr>
                <w:rFonts w:ascii="Arial" w:hAnsi="Arial" w:cs="Arial"/>
                <w:sz w:val="20"/>
                <w:szCs w:val="20"/>
              </w:rPr>
              <w:t>50 000</w:t>
            </w:r>
          </w:p>
        </w:tc>
        <w:tc>
          <w:tcPr>
            <w:tcW w:w="1294" w:type="dxa"/>
            <w:tcBorders>
              <w:top w:val="nil"/>
              <w:left w:val="single" w:sz="4" w:space="0" w:color="auto"/>
              <w:bottom w:val="single" w:sz="4" w:space="0" w:color="auto"/>
              <w:right w:val="single" w:sz="4" w:space="0" w:color="auto"/>
            </w:tcBorders>
            <w:shd w:val="clear" w:color="auto" w:fill="auto"/>
            <w:noWrap/>
            <w:vAlign w:val="bottom"/>
            <w:hideMark/>
          </w:tcPr>
          <w:p w:rsidR="007C71B3" w:rsidRDefault="007C71B3" w:rsidP="007C71B3">
            <w:pPr>
              <w:rPr>
                <w:rFonts w:ascii="Arial" w:hAnsi="Arial" w:cs="Arial"/>
                <w:sz w:val="20"/>
                <w:szCs w:val="20"/>
              </w:rPr>
            </w:pPr>
            <w:r>
              <w:rPr>
                <w:rFonts w:ascii="Arial" w:hAnsi="Arial" w:cs="Arial"/>
                <w:sz w:val="20"/>
                <w:szCs w:val="20"/>
              </w:rPr>
              <w:t> </w:t>
            </w:r>
          </w:p>
        </w:tc>
        <w:tc>
          <w:tcPr>
            <w:tcW w:w="1262" w:type="dxa"/>
            <w:tcBorders>
              <w:top w:val="nil"/>
              <w:left w:val="nil"/>
              <w:bottom w:val="single" w:sz="4" w:space="0" w:color="auto"/>
              <w:right w:val="single" w:sz="4" w:space="0" w:color="auto"/>
            </w:tcBorders>
            <w:shd w:val="clear" w:color="auto" w:fill="auto"/>
            <w:noWrap/>
            <w:vAlign w:val="bottom"/>
            <w:hideMark/>
          </w:tcPr>
          <w:p w:rsidR="007C71B3" w:rsidRDefault="007C71B3" w:rsidP="007C71B3">
            <w:pPr>
              <w:rPr>
                <w:rFonts w:ascii="Arial" w:hAnsi="Arial" w:cs="Arial"/>
                <w:sz w:val="20"/>
                <w:szCs w:val="20"/>
              </w:rPr>
            </w:pPr>
            <w:r>
              <w:rPr>
                <w:rFonts w:ascii="Arial" w:hAnsi="Arial" w:cs="Arial"/>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7C71B3" w:rsidRDefault="007C71B3" w:rsidP="007C71B3">
            <w:pPr>
              <w:rPr>
                <w:rFonts w:ascii="Arial" w:hAnsi="Arial" w:cs="Arial"/>
                <w:sz w:val="20"/>
                <w:szCs w:val="20"/>
              </w:rPr>
            </w:pPr>
            <w:r>
              <w:rPr>
                <w:rFonts w:ascii="Arial" w:hAnsi="Arial" w:cs="Arial"/>
                <w:sz w:val="20"/>
                <w:szCs w:val="20"/>
              </w:rPr>
              <w:t> </w:t>
            </w:r>
          </w:p>
        </w:tc>
        <w:tc>
          <w:tcPr>
            <w:tcW w:w="1177" w:type="dxa"/>
            <w:tcBorders>
              <w:top w:val="nil"/>
              <w:left w:val="nil"/>
              <w:bottom w:val="single" w:sz="4" w:space="0" w:color="auto"/>
              <w:right w:val="single" w:sz="8" w:space="0" w:color="auto"/>
            </w:tcBorders>
            <w:shd w:val="clear" w:color="auto" w:fill="auto"/>
            <w:noWrap/>
            <w:vAlign w:val="bottom"/>
            <w:hideMark/>
          </w:tcPr>
          <w:p w:rsidR="007C71B3" w:rsidRDefault="007C71B3" w:rsidP="007C71B3">
            <w:pPr>
              <w:rPr>
                <w:rFonts w:ascii="Arial" w:hAnsi="Arial" w:cs="Arial"/>
                <w:sz w:val="20"/>
                <w:szCs w:val="20"/>
              </w:rPr>
            </w:pPr>
            <w:r>
              <w:rPr>
                <w:rFonts w:ascii="Arial" w:hAnsi="Arial" w:cs="Arial"/>
                <w:sz w:val="20"/>
                <w:szCs w:val="20"/>
              </w:rPr>
              <w:t> </w:t>
            </w:r>
          </w:p>
        </w:tc>
      </w:tr>
      <w:tr w:rsidR="007C71B3" w:rsidRPr="002835D1" w:rsidTr="001755F4">
        <w:trPr>
          <w:trHeight w:val="188"/>
        </w:trPr>
        <w:tc>
          <w:tcPr>
            <w:tcW w:w="3958" w:type="dxa"/>
            <w:tcBorders>
              <w:top w:val="nil"/>
              <w:left w:val="single" w:sz="8" w:space="0" w:color="auto"/>
              <w:bottom w:val="single" w:sz="4" w:space="0" w:color="auto"/>
              <w:right w:val="single" w:sz="4" w:space="0" w:color="auto"/>
            </w:tcBorders>
            <w:shd w:val="clear" w:color="auto" w:fill="auto"/>
            <w:vAlign w:val="bottom"/>
            <w:hideMark/>
          </w:tcPr>
          <w:p w:rsidR="007C71B3" w:rsidRPr="002835D1" w:rsidRDefault="007C71B3" w:rsidP="007C71B3">
            <w:pPr>
              <w:widowControl/>
              <w:autoSpaceDE/>
              <w:autoSpaceDN/>
              <w:rPr>
                <w:rFonts w:ascii="Arial" w:hAnsi="Arial" w:cs="Arial"/>
                <w:sz w:val="16"/>
                <w:szCs w:val="16"/>
                <w:lang w:val="et-EE" w:eastAsia="et-EE"/>
              </w:rPr>
            </w:pPr>
            <w:r w:rsidRPr="002835D1">
              <w:rPr>
                <w:rFonts w:ascii="Arial" w:hAnsi="Arial" w:cs="Arial"/>
                <w:sz w:val="16"/>
                <w:szCs w:val="16"/>
                <w:lang w:val="et-EE" w:eastAsia="et-EE"/>
              </w:rPr>
              <w:t xml:space="preserve">    Põhivara soetus (-)</w:t>
            </w:r>
          </w:p>
        </w:tc>
        <w:tc>
          <w:tcPr>
            <w:tcW w:w="1332" w:type="dxa"/>
            <w:tcBorders>
              <w:top w:val="nil"/>
              <w:left w:val="single" w:sz="4" w:space="0" w:color="auto"/>
              <w:bottom w:val="single" w:sz="4" w:space="0" w:color="auto"/>
              <w:right w:val="nil"/>
            </w:tcBorders>
            <w:shd w:val="clear" w:color="000000" w:fill="A6A6A6"/>
            <w:vAlign w:val="bottom"/>
            <w:hideMark/>
          </w:tcPr>
          <w:p w:rsidR="007C71B3" w:rsidRDefault="007C71B3" w:rsidP="007C71B3">
            <w:pPr>
              <w:jc w:val="right"/>
              <w:rPr>
                <w:rFonts w:ascii="Arial" w:hAnsi="Arial" w:cs="Arial"/>
                <w:sz w:val="20"/>
                <w:szCs w:val="20"/>
              </w:rPr>
            </w:pPr>
            <w:r>
              <w:rPr>
                <w:rFonts w:ascii="Arial" w:hAnsi="Arial" w:cs="Arial"/>
                <w:sz w:val="20"/>
                <w:szCs w:val="20"/>
              </w:rPr>
              <w:t>-768 809</w:t>
            </w:r>
          </w:p>
        </w:tc>
        <w:tc>
          <w:tcPr>
            <w:tcW w:w="1294" w:type="dxa"/>
            <w:tcBorders>
              <w:top w:val="nil"/>
              <w:left w:val="single" w:sz="4" w:space="0" w:color="auto"/>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-2 752 820</w:t>
            </w:r>
          </w:p>
        </w:tc>
        <w:tc>
          <w:tcPr>
            <w:tcW w:w="1262" w:type="dxa"/>
            <w:tcBorders>
              <w:top w:val="nil"/>
              <w:left w:val="nil"/>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-1 668 000</w:t>
            </w:r>
          </w:p>
        </w:tc>
        <w:tc>
          <w:tcPr>
            <w:tcW w:w="1160" w:type="dxa"/>
            <w:tcBorders>
              <w:top w:val="nil"/>
              <w:left w:val="nil"/>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-387 000</w:t>
            </w:r>
          </w:p>
        </w:tc>
        <w:tc>
          <w:tcPr>
            <w:tcW w:w="1177" w:type="dxa"/>
            <w:tcBorders>
              <w:top w:val="nil"/>
              <w:left w:val="nil"/>
              <w:bottom w:val="single" w:sz="4" w:space="0" w:color="auto"/>
              <w:right w:val="single" w:sz="8"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-435 000</w:t>
            </w:r>
          </w:p>
        </w:tc>
      </w:tr>
      <w:tr w:rsidR="007C71B3" w:rsidRPr="002835D1" w:rsidTr="001755F4">
        <w:trPr>
          <w:trHeight w:val="188"/>
        </w:trPr>
        <w:tc>
          <w:tcPr>
            <w:tcW w:w="3958" w:type="dxa"/>
            <w:tcBorders>
              <w:top w:val="nil"/>
              <w:left w:val="single" w:sz="8" w:space="0" w:color="auto"/>
              <w:bottom w:val="single" w:sz="4" w:space="0" w:color="auto"/>
              <w:right w:val="single" w:sz="4" w:space="0" w:color="auto"/>
            </w:tcBorders>
            <w:shd w:val="clear" w:color="auto" w:fill="auto"/>
            <w:vAlign w:val="bottom"/>
            <w:hideMark/>
          </w:tcPr>
          <w:p w:rsidR="007C71B3" w:rsidRPr="002835D1" w:rsidRDefault="007C71B3" w:rsidP="007C71B3">
            <w:pPr>
              <w:widowControl/>
              <w:autoSpaceDE/>
              <w:autoSpaceDN/>
              <w:rPr>
                <w:rFonts w:ascii="Arial" w:hAnsi="Arial" w:cs="Arial"/>
                <w:i/>
                <w:iCs/>
                <w:sz w:val="16"/>
                <w:szCs w:val="16"/>
                <w:lang w:val="et-EE" w:eastAsia="et-EE"/>
              </w:rPr>
            </w:pPr>
            <w:r w:rsidRPr="002835D1">
              <w:rPr>
                <w:rFonts w:ascii="Arial" w:hAnsi="Arial" w:cs="Arial"/>
                <w:i/>
                <w:iCs/>
                <w:sz w:val="16"/>
                <w:szCs w:val="16"/>
                <w:lang w:val="et-EE" w:eastAsia="et-EE"/>
              </w:rPr>
              <w:t xml:space="preserve">         sh projektide omaosalus</w:t>
            </w: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-743 939</w:t>
            </w:r>
          </w:p>
        </w:tc>
        <w:tc>
          <w:tcPr>
            <w:tcW w:w="1294" w:type="dxa"/>
            <w:tcBorders>
              <w:top w:val="nil"/>
              <w:left w:val="nil"/>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-2 062 820</w:t>
            </w:r>
          </w:p>
        </w:tc>
        <w:tc>
          <w:tcPr>
            <w:tcW w:w="1262" w:type="dxa"/>
            <w:tcBorders>
              <w:top w:val="nil"/>
              <w:left w:val="nil"/>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-1 248 100</w:t>
            </w:r>
          </w:p>
        </w:tc>
        <w:tc>
          <w:tcPr>
            <w:tcW w:w="1160" w:type="dxa"/>
            <w:tcBorders>
              <w:top w:val="nil"/>
              <w:left w:val="nil"/>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-321 090</w:t>
            </w:r>
          </w:p>
        </w:tc>
        <w:tc>
          <w:tcPr>
            <w:tcW w:w="1177" w:type="dxa"/>
            <w:tcBorders>
              <w:top w:val="nil"/>
              <w:left w:val="nil"/>
              <w:bottom w:val="single" w:sz="4" w:space="0" w:color="auto"/>
              <w:right w:val="single" w:sz="8"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-435 000</w:t>
            </w:r>
          </w:p>
        </w:tc>
      </w:tr>
      <w:tr w:rsidR="007C71B3" w:rsidRPr="002835D1" w:rsidTr="001755F4">
        <w:trPr>
          <w:trHeight w:val="188"/>
        </w:trPr>
        <w:tc>
          <w:tcPr>
            <w:tcW w:w="3958" w:type="dxa"/>
            <w:tcBorders>
              <w:top w:val="nil"/>
              <w:left w:val="single" w:sz="8" w:space="0" w:color="auto"/>
              <w:bottom w:val="single" w:sz="4" w:space="0" w:color="auto"/>
              <w:right w:val="single" w:sz="4" w:space="0" w:color="auto"/>
            </w:tcBorders>
            <w:shd w:val="clear" w:color="auto" w:fill="auto"/>
            <w:vAlign w:val="bottom"/>
            <w:hideMark/>
          </w:tcPr>
          <w:p w:rsidR="007C71B3" w:rsidRPr="002835D1" w:rsidRDefault="007C71B3" w:rsidP="007C71B3">
            <w:pPr>
              <w:widowControl/>
              <w:autoSpaceDE/>
              <w:autoSpaceDN/>
              <w:rPr>
                <w:rFonts w:ascii="Arial" w:hAnsi="Arial" w:cs="Arial"/>
                <w:color w:val="000000"/>
                <w:sz w:val="16"/>
                <w:szCs w:val="16"/>
                <w:lang w:val="et-EE" w:eastAsia="et-EE"/>
              </w:rPr>
            </w:pPr>
            <w:r w:rsidRPr="002835D1">
              <w:rPr>
                <w:rFonts w:ascii="Arial" w:hAnsi="Arial" w:cs="Arial"/>
                <w:color w:val="000000"/>
                <w:sz w:val="16"/>
                <w:szCs w:val="16"/>
                <w:lang w:val="et-EE" w:eastAsia="et-EE"/>
              </w:rPr>
              <w:t xml:space="preserve">   Põhivara soetuseks saadav sihtfinantseerimine (+)</w:t>
            </w:r>
          </w:p>
        </w:tc>
        <w:tc>
          <w:tcPr>
            <w:tcW w:w="1332" w:type="dxa"/>
            <w:tcBorders>
              <w:top w:val="nil"/>
              <w:left w:val="single" w:sz="4" w:space="0" w:color="auto"/>
              <w:bottom w:val="single" w:sz="4" w:space="0" w:color="auto"/>
              <w:right w:val="single" w:sz="4" w:space="0" w:color="auto"/>
            </w:tcBorders>
            <w:shd w:val="clear" w:color="000000" w:fill="A6A6A6"/>
            <w:noWrap/>
            <w:vAlign w:val="bottom"/>
            <w:hideMark/>
          </w:tcPr>
          <w:p w:rsidR="007C71B3" w:rsidRDefault="007C71B3" w:rsidP="007C71B3">
            <w:pPr>
              <w:jc w:val="right"/>
              <w:rPr>
                <w:rFonts w:ascii="Arial" w:hAnsi="Arial" w:cs="Arial"/>
                <w:sz w:val="20"/>
                <w:szCs w:val="20"/>
              </w:rPr>
            </w:pPr>
            <w:r>
              <w:rPr>
                <w:rFonts w:ascii="Arial" w:hAnsi="Arial" w:cs="Arial"/>
                <w:sz w:val="20"/>
                <w:szCs w:val="20"/>
              </w:rPr>
              <w:t>336 834</w:t>
            </w:r>
          </w:p>
        </w:tc>
        <w:tc>
          <w:tcPr>
            <w:tcW w:w="1294" w:type="dxa"/>
            <w:tcBorders>
              <w:top w:val="nil"/>
              <w:left w:val="nil"/>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735 000</w:t>
            </w:r>
          </w:p>
        </w:tc>
        <w:tc>
          <w:tcPr>
            <w:tcW w:w="1262" w:type="dxa"/>
            <w:tcBorders>
              <w:top w:val="nil"/>
              <w:left w:val="nil"/>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419 900</w:t>
            </w:r>
          </w:p>
        </w:tc>
        <w:tc>
          <w:tcPr>
            <w:tcW w:w="1160" w:type="dxa"/>
            <w:tcBorders>
              <w:top w:val="nil"/>
              <w:left w:val="nil"/>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65 910</w:t>
            </w:r>
          </w:p>
        </w:tc>
        <w:tc>
          <w:tcPr>
            <w:tcW w:w="1177" w:type="dxa"/>
            <w:tcBorders>
              <w:top w:val="nil"/>
              <w:left w:val="nil"/>
              <w:bottom w:val="single" w:sz="4" w:space="0" w:color="auto"/>
              <w:right w:val="single" w:sz="8"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0</w:t>
            </w:r>
          </w:p>
        </w:tc>
      </w:tr>
      <w:tr w:rsidR="007C71B3" w:rsidRPr="002835D1" w:rsidTr="001755F4">
        <w:trPr>
          <w:trHeight w:val="188"/>
        </w:trPr>
        <w:tc>
          <w:tcPr>
            <w:tcW w:w="3958" w:type="dxa"/>
            <w:tcBorders>
              <w:top w:val="nil"/>
              <w:left w:val="single" w:sz="8" w:space="0" w:color="auto"/>
              <w:bottom w:val="single" w:sz="4" w:space="0" w:color="auto"/>
              <w:right w:val="single" w:sz="4" w:space="0" w:color="auto"/>
            </w:tcBorders>
            <w:shd w:val="clear" w:color="auto" w:fill="auto"/>
            <w:vAlign w:val="bottom"/>
            <w:hideMark/>
          </w:tcPr>
          <w:p w:rsidR="007C71B3" w:rsidRPr="002835D1" w:rsidRDefault="007C71B3" w:rsidP="007C71B3">
            <w:pPr>
              <w:widowControl/>
              <w:autoSpaceDE/>
              <w:autoSpaceDN/>
              <w:rPr>
                <w:rFonts w:ascii="Arial" w:hAnsi="Arial" w:cs="Arial"/>
                <w:sz w:val="16"/>
                <w:szCs w:val="16"/>
                <w:lang w:val="et-EE" w:eastAsia="et-EE"/>
              </w:rPr>
            </w:pPr>
            <w:r w:rsidRPr="002835D1">
              <w:rPr>
                <w:rFonts w:ascii="Arial" w:hAnsi="Arial" w:cs="Arial"/>
                <w:sz w:val="16"/>
                <w:szCs w:val="16"/>
                <w:lang w:val="et-EE" w:eastAsia="et-EE"/>
              </w:rPr>
              <w:t xml:space="preserve">   Põhivara soetuseks antav sihtfinantseerimine (-)</w:t>
            </w:r>
          </w:p>
        </w:tc>
        <w:tc>
          <w:tcPr>
            <w:tcW w:w="1332" w:type="dxa"/>
            <w:tcBorders>
              <w:top w:val="nil"/>
              <w:left w:val="single" w:sz="4" w:space="0" w:color="auto"/>
              <w:bottom w:val="single" w:sz="4" w:space="0" w:color="auto"/>
              <w:right w:val="nil"/>
            </w:tcBorders>
            <w:shd w:val="clear" w:color="000000" w:fill="969696"/>
            <w:vAlign w:val="bottom"/>
            <w:hideMark/>
          </w:tcPr>
          <w:p w:rsidR="007C71B3" w:rsidRDefault="007C71B3" w:rsidP="007C71B3">
            <w:pPr>
              <w:jc w:val="right"/>
              <w:rPr>
                <w:rFonts w:ascii="Arial" w:hAnsi="Arial" w:cs="Arial"/>
                <w:sz w:val="20"/>
                <w:szCs w:val="20"/>
              </w:rPr>
            </w:pPr>
            <w:r>
              <w:rPr>
                <w:rFonts w:ascii="Arial" w:hAnsi="Arial" w:cs="Arial"/>
                <w:sz w:val="20"/>
                <w:szCs w:val="20"/>
              </w:rPr>
              <w:t>-886 077</w:t>
            </w:r>
          </w:p>
        </w:tc>
        <w:tc>
          <w:tcPr>
            <w:tcW w:w="1294" w:type="dxa"/>
            <w:tcBorders>
              <w:top w:val="nil"/>
              <w:left w:val="single" w:sz="4" w:space="0" w:color="auto"/>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-134 765</w:t>
            </w:r>
          </w:p>
        </w:tc>
        <w:tc>
          <w:tcPr>
            <w:tcW w:w="1262" w:type="dxa"/>
            <w:tcBorders>
              <w:top w:val="nil"/>
              <w:left w:val="nil"/>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-134 765</w:t>
            </w:r>
          </w:p>
        </w:tc>
        <w:tc>
          <w:tcPr>
            <w:tcW w:w="1160" w:type="dxa"/>
            <w:tcBorders>
              <w:top w:val="nil"/>
              <w:left w:val="nil"/>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-134 765</w:t>
            </w:r>
          </w:p>
        </w:tc>
        <w:tc>
          <w:tcPr>
            <w:tcW w:w="1177" w:type="dxa"/>
            <w:tcBorders>
              <w:top w:val="nil"/>
              <w:left w:val="nil"/>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-134 765</w:t>
            </w:r>
          </w:p>
        </w:tc>
      </w:tr>
      <w:tr w:rsidR="007C71B3" w:rsidRPr="002835D1" w:rsidTr="001755F4">
        <w:trPr>
          <w:trHeight w:val="188"/>
        </w:trPr>
        <w:tc>
          <w:tcPr>
            <w:tcW w:w="3958" w:type="dxa"/>
            <w:tcBorders>
              <w:top w:val="nil"/>
              <w:left w:val="single" w:sz="8" w:space="0" w:color="auto"/>
              <w:bottom w:val="single" w:sz="4" w:space="0" w:color="auto"/>
              <w:right w:val="single" w:sz="4" w:space="0" w:color="auto"/>
            </w:tcBorders>
            <w:shd w:val="clear" w:color="auto" w:fill="auto"/>
            <w:vAlign w:val="bottom"/>
            <w:hideMark/>
          </w:tcPr>
          <w:p w:rsidR="007C71B3" w:rsidRPr="002835D1" w:rsidRDefault="007C71B3" w:rsidP="007C71B3">
            <w:pPr>
              <w:widowControl/>
              <w:autoSpaceDE/>
              <w:autoSpaceDN/>
              <w:rPr>
                <w:rFonts w:ascii="Arial" w:hAnsi="Arial" w:cs="Arial"/>
                <w:sz w:val="16"/>
                <w:szCs w:val="16"/>
                <w:lang w:val="et-EE" w:eastAsia="et-EE"/>
              </w:rPr>
            </w:pPr>
            <w:r w:rsidRPr="002835D1">
              <w:rPr>
                <w:rFonts w:ascii="Arial" w:hAnsi="Arial" w:cs="Arial"/>
                <w:sz w:val="16"/>
                <w:szCs w:val="16"/>
                <w:lang w:val="et-EE" w:eastAsia="et-EE"/>
              </w:rPr>
              <w:t xml:space="preserve">   Finantstulud (+)</w:t>
            </w:r>
          </w:p>
        </w:tc>
        <w:tc>
          <w:tcPr>
            <w:tcW w:w="1332" w:type="dxa"/>
            <w:tcBorders>
              <w:top w:val="nil"/>
              <w:left w:val="single" w:sz="4" w:space="0" w:color="auto"/>
              <w:bottom w:val="single" w:sz="4" w:space="0" w:color="auto"/>
              <w:right w:val="nil"/>
            </w:tcBorders>
            <w:shd w:val="clear" w:color="000000" w:fill="969696"/>
            <w:vAlign w:val="bottom"/>
            <w:hideMark/>
          </w:tcPr>
          <w:p w:rsidR="007C71B3" w:rsidRDefault="007C71B3" w:rsidP="007C71B3">
            <w:pPr>
              <w:jc w:val="right"/>
              <w:rPr>
                <w:rFonts w:ascii="Arial" w:hAnsi="Arial" w:cs="Arial"/>
                <w:sz w:val="20"/>
                <w:szCs w:val="20"/>
                <w:lang w:val="et-EE" w:eastAsia="et-EE"/>
              </w:rPr>
            </w:pPr>
            <w:r>
              <w:rPr>
                <w:rFonts w:ascii="Arial" w:hAnsi="Arial" w:cs="Arial"/>
                <w:sz w:val="20"/>
                <w:szCs w:val="20"/>
              </w:rPr>
              <w:t>122</w:t>
            </w:r>
          </w:p>
        </w:tc>
        <w:tc>
          <w:tcPr>
            <w:tcW w:w="1294" w:type="dxa"/>
            <w:tcBorders>
              <w:top w:val="nil"/>
              <w:left w:val="single" w:sz="4" w:space="0" w:color="auto"/>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125</w:t>
            </w:r>
          </w:p>
        </w:tc>
        <w:tc>
          <w:tcPr>
            <w:tcW w:w="1262" w:type="dxa"/>
            <w:tcBorders>
              <w:top w:val="nil"/>
              <w:left w:val="nil"/>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125</w:t>
            </w:r>
          </w:p>
        </w:tc>
        <w:tc>
          <w:tcPr>
            <w:tcW w:w="1160" w:type="dxa"/>
            <w:tcBorders>
              <w:top w:val="nil"/>
              <w:left w:val="nil"/>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125</w:t>
            </w:r>
          </w:p>
        </w:tc>
        <w:tc>
          <w:tcPr>
            <w:tcW w:w="1177" w:type="dxa"/>
            <w:tcBorders>
              <w:top w:val="nil"/>
              <w:left w:val="nil"/>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125</w:t>
            </w:r>
          </w:p>
        </w:tc>
      </w:tr>
      <w:tr w:rsidR="007C71B3" w:rsidRPr="002835D1" w:rsidTr="001755F4">
        <w:trPr>
          <w:trHeight w:val="188"/>
        </w:trPr>
        <w:tc>
          <w:tcPr>
            <w:tcW w:w="3958" w:type="dxa"/>
            <w:tcBorders>
              <w:top w:val="nil"/>
              <w:left w:val="single" w:sz="8" w:space="0" w:color="auto"/>
              <w:bottom w:val="single" w:sz="4" w:space="0" w:color="auto"/>
              <w:right w:val="single" w:sz="4" w:space="0" w:color="auto"/>
            </w:tcBorders>
            <w:shd w:val="clear" w:color="auto" w:fill="auto"/>
            <w:vAlign w:val="bottom"/>
            <w:hideMark/>
          </w:tcPr>
          <w:p w:rsidR="007C71B3" w:rsidRPr="002835D1" w:rsidRDefault="007C71B3" w:rsidP="007C71B3">
            <w:pPr>
              <w:widowControl/>
              <w:autoSpaceDE/>
              <w:autoSpaceDN/>
              <w:rPr>
                <w:rFonts w:ascii="Arial" w:hAnsi="Arial" w:cs="Arial"/>
                <w:sz w:val="16"/>
                <w:szCs w:val="16"/>
                <w:lang w:val="et-EE" w:eastAsia="et-EE"/>
              </w:rPr>
            </w:pPr>
            <w:r w:rsidRPr="002835D1">
              <w:rPr>
                <w:rFonts w:ascii="Arial" w:hAnsi="Arial" w:cs="Arial"/>
                <w:sz w:val="16"/>
                <w:szCs w:val="16"/>
                <w:lang w:val="et-EE" w:eastAsia="et-EE"/>
              </w:rPr>
              <w:t xml:space="preserve">   Finantskulud (-)</w:t>
            </w:r>
          </w:p>
        </w:tc>
        <w:tc>
          <w:tcPr>
            <w:tcW w:w="1332" w:type="dxa"/>
            <w:tcBorders>
              <w:top w:val="nil"/>
              <w:left w:val="single" w:sz="4" w:space="0" w:color="auto"/>
              <w:bottom w:val="single" w:sz="4" w:space="0" w:color="auto"/>
              <w:right w:val="nil"/>
            </w:tcBorders>
            <w:shd w:val="clear" w:color="000000" w:fill="969696"/>
            <w:vAlign w:val="bottom"/>
            <w:hideMark/>
          </w:tcPr>
          <w:p w:rsidR="007C71B3" w:rsidRDefault="007C71B3" w:rsidP="007C71B3">
            <w:pPr>
              <w:jc w:val="right"/>
              <w:rPr>
                <w:rFonts w:ascii="Arial" w:hAnsi="Arial" w:cs="Arial"/>
                <w:sz w:val="20"/>
                <w:szCs w:val="20"/>
              </w:rPr>
            </w:pPr>
            <w:r>
              <w:rPr>
                <w:rFonts w:ascii="Arial" w:hAnsi="Arial" w:cs="Arial"/>
                <w:sz w:val="20"/>
                <w:szCs w:val="20"/>
              </w:rPr>
              <w:t>-40 966</w:t>
            </w:r>
          </w:p>
        </w:tc>
        <w:tc>
          <w:tcPr>
            <w:tcW w:w="1294" w:type="dxa"/>
            <w:tcBorders>
              <w:top w:val="nil"/>
              <w:left w:val="single" w:sz="4" w:space="0" w:color="auto"/>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-27 847</w:t>
            </w:r>
          </w:p>
        </w:tc>
        <w:tc>
          <w:tcPr>
            <w:tcW w:w="1262" w:type="dxa"/>
            <w:tcBorders>
              <w:top w:val="nil"/>
              <w:left w:val="nil"/>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-24 932</w:t>
            </w:r>
          </w:p>
        </w:tc>
        <w:tc>
          <w:tcPr>
            <w:tcW w:w="1160" w:type="dxa"/>
            <w:tcBorders>
              <w:top w:val="nil"/>
              <w:left w:val="nil"/>
              <w:bottom w:val="single" w:sz="4" w:space="0" w:color="auto"/>
              <w:right w:val="single" w:sz="4"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-6 464</w:t>
            </w:r>
          </w:p>
        </w:tc>
        <w:tc>
          <w:tcPr>
            <w:tcW w:w="1177" w:type="dxa"/>
            <w:tcBorders>
              <w:top w:val="nil"/>
              <w:left w:val="nil"/>
              <w:bottom w:val="single" w:sz="4" w:space="0" w:color="auto"/>
              <w:right w:val="single" w:sz="8" w:space="0" w:color="auto"/>
            </w:tcBorders>
            <w:shd w:val="clear" w:color="auto" w:fill="auto"/>
            <w:noWrap/>
            <w:vAlign w:val="bottom"/>
            <w:hideMark/>
          </w:tcPr>
          <w:p w:rsidR="007C71B3" w:rsidRDefault="007C71B3" w:rsidP="007C71B3">
            <w:pPr>
              <w:jc w:val="right"/>
              <w:rPr>
                <w:rFonts w:ascii="Arial" w:hAnsi="Arial" w:cs="Arial"/>
                <w:sz w:val="20"/>
                <w:szCs w:val="20"/>
              </w:rPr>
            </w:pPr>
            <w:r>
              <w:rPr>
                <w:rFonts w:ascii="Arial" w:hAnsi="Arial" w:cs="Arial"/>
                <w:sz w:val="20"/>
                <w:szCs w:val="20"/>
              </w:rPr>
              <w:t>-10 546</w:t>
            </w:r>
          </w:p>
        </w:tc>
      </w:tr>
    </w:tbl>
    <w:p w:rsidR="002835D1" w:rsidRDefault="002835D1" w:rsidP="006B77C1">
      <w:pPr>
        <w:jc w:val="both"/>
        <w:rPr>
          <w:rFonts w:eastAsiaTheme="minorHAnsi"/>
          <w:sz w:val="24"/>
          <w:szCs w:val="24"/>
          <w:lang w:val="et-EE" w:eastAsia="en-US"/>
        </w:rPr>
      </w:pPr>
    </w:p>
    <w:p w:rsidR="006B77C1" w:rsidRDefault="00C9099F" w:rsidP="006B77C1">
      <w:pPr>
        <w:jc w:val="both"/>
        <w:rPr>
          <w:rFonts w:eastAsiaTheme="minorHAnsi"/>
          <w:sz w:val="24"/>
          <w:szCs w:val="24"/>
          <w:lang w:val="et-EE" w:eastAsia="en-US"/>
        </w:rPr>
      </w:pPr>
      <w:r>
        <w:rPr>
          <w:rFonts w:eastAsiaTheme="minorHAnsi"/>
          <w:sz w:val="24"/>
          <w:szCs w:val="24"/>
          <w:lang w:val="et-EE" w:eastAsia="en-US"/>
        </w:rPr>
        <w:t xml:space="preserve">Vallavalitsuse </w:t>
      </w:r>
      <w:r w:rsidRPr="00C9099F">
        <w:rPr>
          <w:rFonts w:eastAsiaTheme="minorHAnsi"/>
          <w:sz w:val="24"/>
          <w:szCs w:val="24"/>
          <w:lang w:val="et-EE" w:eastAsia="en-US"/>
        </w:rPr>
        <w:t>poolt on koostatud</w:t>
      </w:r>
      <w:r>
        <w:rPr>
          <w:rFonts w:eastAsiaTheme="minorHAnsi"/>
          <w:sz w:val="24"/>
          <w:szCs w:val="24"/>
          <w:lang w:val="et-EE" w:eastAsia="en-US"/>
        </w:rPr>
        <w:t xml:space="preserve"> </w:t>
      </w:r>
      <w:r w:rsidRPr="00C9099F">
        <w:rPr>
          <w:rFonts w:eastAsiaTheme="minorHAnsi"/>
          <w:sz w:val="24"/>
          <w:szCs w:val="24"/>
          <w:lang w:val="et-EE" w:eastAsia="en-US"/>
        </w:rPr>
        <w:t>hoolikalt analüüsitud ja põhjalik investeeringute kava</w:t>
      </w:r>
      <w:r w:rsidR="006B77C1">
        <w:rPr>
          <w:rFonts w:eastAsiaTheme="minorHAnsi"/>
          <w:sz w:val="24"/>
          <w:szCs w:val="24"/>
          <w:lang w:val="et-EE" w:eastAsia="en-US"/>
        </w:rPr>
        <w:t>, mida korrigeeritakse igal aastal, kuid ilma laenuvahendeid kaasamata ei ole võimalik alainvesteerimist vältida. Järgnevaks 2 aastaks on kavandatud katta laenude võtmisega investeeringud.</w:t>
      </w:r>
    </w:p>
    <w:p w:rsidR="00AE1DD8" w:rsidRDefault="00AE1DD8" w:rsidP="006B77C1">
      <w:pPr>
        <w:jc w:val="both"/>
        <w:rPr>
          <w:rFonts w:eastAsiaTheme="minorHAnsi"/>
          <w:sz w:val="24"/>
          <w:szCs w:val="24"/>
          <w:lang w:val="et-EE" w:eastAsia="en-US"/>
        </w:rPr>
      </w:pPr>
    </w:p>
    <w:tbl>
      <w:tblPr>
        <w:tblW w:w="10200" w:type="dxa"/>
        <w:tblCellMar>
          <w:left w:w="70" w:type="dxa"/>
          <w:right w:w="70" w:type="dxa"/>
        </w:tblCellMar>
        <w:tblLook w:val="04A0" w:firstRow="1" w:lastRow="0" w:firstColumn="1" w:lastColumn="0" w:noHBand="0" w:noVBand="1"/>
      </w:tblPr>
      <w:tblGrid>
        <w:gridCol w:w="5163"/>
        <w:gridCol w:w="1021"/>
        <w:gridCol w:w="1104"/>
        <w:gridCol w:w="1021"/>
        <w:gridCol w:w="939"/>
        <w:gridCol w:w="952"/>
      </w:tblGrid>
      <w:tr w:rsidR="00E57359" w:rsidRPr="002835D1" w:rsidTr="00E57359">
        <w:trPr>
          <w:trHeight w:val="250"/>
        </w:trPr>
        <w:tc>
          <w:tcPr>
            <w:tcW w:w="5163" w:type="dxa"/>
            <w:tcBorders>
              <w:top w:val="single" w:sz="4" w:space="0" w:color="auto"/>
              <w:left w:val="single" w:sz="8" w:space="0" w:color="auto"/>
              <w:bottom w:val="single" w:sz="4" w:space="0" w:color="auto"/>
              <w:right w:val="single" w:sz="4" w:space="0" w:color="auto"/>
            </w:tcBorders>
            <w:shd w:val="clear" w:color="auto" w:fill="CCFFCC"/>
            <w:noWrap/>
            <w:vAlign w:val="bottom"/>
            <w:hideMark/>
          </w:tcPr>
          <w:p w:rsidR="00E57359" w:rsidRPr="002835D1" w:rsidRDefault="00E57359" w:rsidP="00E57359">
            <w:pPr>
              <w:widowControl/>
              <w:autoSpaceDE/>
              <w:autoSpaceDN/>
              <w:jc w:val="center"/>
              <w:rPr>
                <w:rFonts w:ascii="Arial" w:hAnsi="Arial" w:cs="Arial"/>
                <w:b/>
                <w:bCs/>
                <w:sz w:val="20"/>
                <w:szCs w:val="20"/>
                <w:lang w:val="et-EE" w:eastAsia="et-EE"/>
              </w:rPr>
            </w:pPr>
          </w:p>
        </w:tc>
        <w:tc>
          <w:tcPr>
            <w:tcW w:w="1021" w:type="dxa"/>
            <w:tcBorders>
              <w:top w:val="single" w:sz="4" w:space="0" w:color="auto"/>
              <w:left w:val="nil"/>
              <w:bottom w:val="single" w:sz="4" w:space="0" w:color="auto"/>
              <w:right w:val="single" w:sz="4" w:space="0" w:color="auto"/>
            </w:tcBorders>
            <w:shd w:val="clear" w:color="auto" w:fill="CCFFCC"/>
            <w:noWrap/>
            <w:vAlign w:val="bottom"/>
            <w:hideMark/>
          </w:tcPr>
          <w:p w:rsidR="00E57359" w:rsidRPr="002835D1" w:rsidRDefault="00E57359" w:rsidP="00E57359">
            <w:pPr>
              <w:widowControl/>
              <w:autoSpaceDE/>
              <w:autoSpaceDN/>
              <w:jc w:val="center"/>
              <w:rPr>
                <w:rFonts w:ascii="Arial" w:hAnsi="Arial" w:cs="Arial"/>
                <w:b/>
                <w:bCs/>
                <w:sz w:val="20"/>
                <w:szCs w:val="20"/>
                <w:lang w:val="et-EE" w:eastAsia="et-EE"/>
              </w:rPr>
            </w:pPr>
            <w:r w:rsidRPr="002835D1">
              <w:rPr>
                <w:rFonts w:ascii="Arial" w:hAnsi="Arial" w:cs="Arial"/>
                <w:b/>
                <w:bCs/>
                <w:sz w:val="20"/>
                <w:szCs w:val="20"/>
                <w:lang w:val="et-EE" w:eastAsia="et-EE"/>
              </w:rPr>
              <w:t>2019 eeldatav täitmine</w:t>
            </w:r>
          </w:p>
        </w:tc>
        <w:tc>
          <w:tcPr>
            <w:tcW w:w="1104" w:type="dxa"/>
            <w:tcBorders>
              <w:top w:val="single" w:sz="4" w:space="0" w:color="auto"/>
              <w:left w:val="nil"/>
              <w:bottom w:val="single" w:sz="4" w:space="0" w:color="auto"/>
              <w:right w:val="single" w:sz="4" w:space="0" w:color="auto"/>
            </w:tcBorders>
            <w:shd w:val="clear" w:color="auto" w:fill="CCFFCC"/>
            <w:noWrap/>
            <w:vAlign w:val="bottom"/>
            <w:hideMark/>
          </w:tcPr>
          <w:p w:rsidR="00E57359" w:rsidRPr="002835D1" w:rsidRDefault="00E57359" w:rsidP="00E57359">
            <w:pPr>
              <w:widowControl/>
              <w:autoSpaceDE/>
              <w:autoSpaceDN/>
              <w:jc w:val="center"/>
              <w:rPr>
                <w:rFonts w:ascii="Arial" w:hAnsi="Arial" w:cs="Arial"/>
                <w:b/>
                <w:bCs/>
                <w:sz w:val="20"/>
                <w:szCs w:val="20"/>
                <w:lang w:val="et-EE" w:eastAsia="et-EE"/>
              </w:rPr>
            </w:pPr>
            <w:r w:rsidRPr="002835D1">
              <w:rPr>
                <w:rFonts w:ascii="Arial" w:hAnsi="Arial" w:cs="Arial"/>
                <w:b/>
                <w:bCs/>
                <w:sz w:val="20"/>
                <w:szCs w:val="20"/>
                <w:lang w:val="et-EE" w:eastAsia="et-EE"/>
              </w:rPr>
              <w:t>2020 eelarve</w:t>
            </w:r>
          </w:p>
        </w:tc>
        <w:tc>
          <w:tcPr>
            <w:tcW w:w="1021" w:type="dxa"/>
            <w:tcBorders>
              <w:top w:val="single" w:sz="4" w:space="0" w:color="auto"/>
              <w:left w:val="nil"/>
              <w:bottom w:val="single" w:sz="4" w:space="0" w:color="auto"/>
              <w:right w:val="single" w:sz="4" w:space="0" w:color="auto"/>
            </w:tcBorders>
            <w:shd w:val="clear" w:color="auto" w:fill="CCFFCC"/>
            <w:noWrap/>
            <w:vAlign w:val="bottom"/>
            <w:hideMark/>
          </w:tcPr>
          <w:p w:rsidR="00E57359" w:rsidRPr="002835D1" w:rsidRDefault="00E57359" w:rsidP="00E57359">
            <w:pPr>
              <w:widowControl/>
              <w:autoSpaceDE/>
              <w:autoSpaceDN/>
              <w:jc w:val="center"/>
              <w:rPr>
                <w:rFonts w:ascii="Arial" w:hAnsi="Arial" w:cs="Arial"/>
                <w:b/>
                <w:bCs/>
                <w:sz w:val="20"/>
                <w:szCs w:val="20"/>
                <w:lang w:val="et-EE" w:eastAsia="et-EE"/>
              </w:rPr>
            </w:pPr>
            <w:r w:rsidRPr="002835D1">
              <w:rPr>
                <w:rFonts w:ascii="Arial" w:hAnsi="Arial" w:cs="Arial"/>
                <w:b/>
                <w:bCs/>
                <w:sz w:val="20"/>
                <w:szCs w:val="20"/>
                <w:lang w:val="et-EE" w:eastAsia="et-EE"/>
              </w:rPr>
              <w:t>2021 eelarve</w:t>
            </w:r>
          </w:p>
        </w:tc>
        <w:tc>
          <w:tcPr>
            <w:tcW w:w="939" w:type="dxa"/>
            <w:tcBorders>
              <w:top w:val="single" w:sz="4" w:space="0" w:color="auto"/>
              <w:left w:val="nil"/>
              <w:bottom w:val="single" w:sz="4" w:space="0" w:color="auto"/>
              <w:right w:val="single" w:sz="4" w:space="0" w:color="auto"/>
            </w:tcBorders>
            <w:shd w:val="clear" w:color="auto" w:fill="CCFFCC"/>
            <w:noWrap/>
            <w:vAlign w:val="bottom"/>
            <w:hideMark/>
          </w:tcPr>
          <w:p w:rsidR="00E57359" w:rsidRPr="002835D1" w:rsidRDefault="00E57359" w:rsidP="00E57359">
            <w:pPr>
              <w:widowControl/>
              <w:autoSpaceDE/>
              <w:autoSpaceDN/>
              <w:jc w:val="center"/>
              <w:rPr>
                <w:rFonts w:ascii="Arial" w:hAnsi="Arial" w:cs="Arial"/>
                <w:b/>
                <w:bCs/>
                <w:sz w:val="20"/>
                <w:szCs w:val="20"/>
                <w:lang w:val="et-EE" w:eastAsia="et-EE"/>
              </w:rPr>
            </w:pPr>
            <w:r w:rsidRPr="002835D1">
              <w:rPr>
                <w:rFonts w:ascii="Arial" w:hAnsi="Arial" w:cs="Arial"/>
                <w:b/>
                <w:bCs/>
                <w:sz w:val="20"/>
                <w:szCs w:val="20"/>
                <w:lang w:val="et-EE" w:eastAsia="et-EE"/>
              </w:rPr>
              <w:t>2022 eelarve</w:t>
            </w:r>
          </w:p>
        </w:tc>
        <w:tc>
          <w:tcPr>
            <w:tcW w:w="952" w:type="dxa"/>
            <w:tcBorders>
              <w:top w:val="single" w:sz="4" w:space="0" w:color="auto"/>
              <w:left w:val="nil"/>
              <w:bottom w:val="single" w:sz="4" w:space="0" w:color="auto"/>
              <w:right w:val="single" w:sz="8" w:space="0" w:color="auto"/>
            </w:tcBorders>
            <w:shd w:val="clear" w:color="auto" w:fill="CCFFCC"/>
            <w:noWrap/>
            <w:vAlign w:val="bottom"/>
            <w:hideMark/>
          </w:tcPr>
          <w:p w:rsidR="00E57359" w:rsidRPr="002835D1" w:rsidRDefault="00E57359" w:rsidP="00E57359">
            <w:pPr>
              <w:widowControl/>
              <w:autoSpaceDE/>
              <w:autoSpaceDN/>
              <w:jc w:val="center"/>
              <w:rPr>
                <w:rFonts w:ascii="Arial" w:hAnsi="Arial" w:cs="Arial"/>
                <w:b/>
                <w:bCs/>
                <w:sz w:val="20"/>
                <w:szCs w:val="20"/>
                <w:lang w:val="et-EE" w:eastAsia="et-EE"/>
              </w:rPr>
            </w:pPr>
            <w:r w:rsidRPr="002835D1">
              <w:rPr>
                <w:rFonts w:ascii="Arial" w:hAnsi="Arial" w:cs="Arial"/>
                <w:b/>
                <w:bCs/>
                <w:sz w:val="20"/>
                <w:szCs w:val="20"/>
                <w:lang w:val="et-EE" w:eastAsia="et-EE"/>
              </w:rPr>
              <w:t>2023 eelarve</w:t>
            </w:r>
          </w:p>
        </w:tc>
      </w:tr>
      <w:tr w:rsidR="00EA10B8" w:rsidRPr="00E57359" w:rsidTr="00E57359">
        <w:trPr>
          <w:trHeight w:val="250"/>
        </w:trPr>
        <w:tc>
          <w:tcPr>
            <w:tcW w:w="516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b/>
                <w:bCs/>
                <w:sz w:val="20"/>
                <w:szCs w:val="20"/>
                <w:lang w:val="et-EE" w:eastAsia="et-EE"/>
              </w:rPr>
            </w:pPr>
            <w:r>
              <w:rPr>
                <w:rFonts w:ascii="Arial" w:hAnsi="Arial" w:cs="Arial"/>
                <w:b/>
                <w:bCs/>
                <w:sz w:val="20"/>
                <w:szCs w:val="20"/>
              </w:rPr>
              <w:t>01 Vallamaja- küttesüsteem</w:t>
            </w:r>
          </w:p>
        </w:tc>
        <w:tc>
          <w:tcPr>
            <w:tcW w:w="1021" w:type="dxa"/>
            <w:tcBorders>
              <w:top w:val="single" w:sz="4" w:space="0" w:color="auto"/>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10 000</w:t>
            </w:r>
          </w:p>
        </w:tc>
        <w:tc>
          <w:tcPr>
            <w:tcW w:w="1104" w:type="dxa"/>
            <w:tcBorders>
              <w:top w:val="single" w:sz="4" w:space="0" w:color="auto"/>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10 000</w:t>
            </w:r>
          </w:p>
        </w:tc>
        <w:tc>
          <w:tcPr>
            <w:tcW w:w="1021" w:type="dxa"/>
            <w:tcBorders>
              <w:top w:val="single" w:sz="4" w:space="0" w:color="auto"/>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10 000</w:t>
            </w:r>
          </w:p>
        </w:tc>
        <w:tc>
          <w:tcPr>
            <w:tcW w:w="939" w:type="dxa"/>
            <w:tcBorders>
              <w:top w:val="single" w:sz="4" w:space="0" w:color="auto"/>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952" w:type="dxa"/>
            <w:tcBorders>
              <w:top w:val="single" w:sz="4" w:space="0" w:color="auto"/>
              <w:left w:val="nil"/>
              <w:bottom w:val="single" w:sz="4" w:space="0" w:color="auto"/>
              <w:right w:val="single" w:sz="8"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toetuse arvelt</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muude vahendite arvelt (omaosalus)</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10 000</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10 000</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10 000</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503"/>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b/>
                <w:bCs/>
                <w:sz w:val="20"/>
                <w:szCs w:val="20"/>
              </w:rPr>
            </w:pPr>
            <w:r>
              <w:rPr>
                <w:rFonts w:ascii="Arial" w:hAnsi="Arial" w:cs="Arial"/>
                <w:b/>
                <w:bCs/>
                <w:sz w:val="20"/>
                <w:szCs w:val="20"/>
              </w:rPr>
              <w:t>01 Vinni-Pajusti avaliku ruumi arendamine (Kirjandustammik, vaateplatvorm, VPG ala)</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1104"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25 000</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100 000</w:t>
            </w:r>
          </w:p>
        </w:tc>
        <w:tc>
          <w:tcPr>
            <w:tcW w:w="939"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952" w:type="dxa"/>
            <w:tcBorders>
              <w:top w:val="nil"/>
              <w:left w:val="nil"/>
              <w:bottom w:val="single" w:sz="4" w:space="0" w:color="auto"/>
              <w:right w:val="single" w:sz="8"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toetuse arvelt</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muude vahendite arvelt (omaosalus)</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25 000</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100 000</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b/>
                <w:bCs/>
                <w:sz w:val="20"/>
                <w:szCs w:val="20"/>
              </w:rPr>
            </w:pPr>
            <w:r>
              <w:rPr>
                <w:rFonts w:ascii="Arial" w:hAnsi="Arial" w:cs="Arial"/>
                <w:b/>
                <w:bCs/>
                <w:sz w:val="20"/>
                <w:szCs w:val="20"/>
              </w:rPr>
              <w:t>01 Avalike mänguväljakute ja sportimispaikade rajamine</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1104"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30 000</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30 000</w:t>
            </w:r>
          </w:p>
        </w:tc>
        <w:tc>
          <w:tcPr>
            <w:tcW w:w="939"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30 000</w:t>
            </w:r>
          </w:p>
        </w:tc>
        <w:tc>
          <w:tcPr>
            <w:tcW w:w="952" w:type="dxa"/>
            <w:tcBorders>
              <w:top w:val="nil"/>
              <w:left w:val="nil"/>
              <w:bottom w:val="single" w:sz="4" w:space="0" w:color="auto"/>
              <w:right w:val="single" w:sz="8"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30 000</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toetuse arvelt</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muude vahendite arvelt (omaosalus)</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30 000</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30 000</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30 000</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30 000</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b/>
                <w:bCs/>
                <w:sz w:val="20"/>
                <w:szCs w:val="20"/>
              </w:rPr>
            </w:pPr>
            <w:r>
              <w:rPr>
                <w:rFonts w:ascii="Arial" w:hAnsi="Arial" w:cs="Arial"/>
                <w:b/>
                <w:bCs/>
                <w:sz w:val="20"/>
                <w:szCs w:val="20"/>
              </w:rPr>
              <w:t>01 Valla üldplaneeringu koostamine</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9 000</w:t>
            </w:r>
          </w:p>
        </w:tc>
        <w:tc>
          <w:tcPr>
            <w:tcW w:w="1104"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54 000</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27 000</w:t>
            </w:r>
          </w:p>
        </w:tc>
        <w:tc>
          <w:tcPr>
            <w:tcW w:w="939"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952" w:type="dxa"/>
            <w:tcBorders>
              <w:top w:val="nil"/>
              <w:left w:val="nil"/>
              <w:bottom w:val="single" w:sz="4" w:space="0" w:color="auto"/>
              <w:right w:val="single" w:sz="8"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toetuse arvelt</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muude vahendite arvelt (omaosalus)</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9 000</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54 000</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27 000</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754"/>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b/>
                <w:bCs/>
                <w:sz w:val="20"/>
                <w:szCs w:val="20"/>
              </w:rPr>
            </w:pPr>
            <w:r>
              <w:rPr>
                <w:rFonts w:ascii="Arial" w:hAnsi="Arial" w:cs="Arial"/>
                <w:b/>
                <w:bCs/>
                <w:sz w:val="20"/>
                <w:szCs w:val="20"/>
              </w:rPr>
              <w:t>04 Ettevõtlust/turismi toetava taristu arendamine, sh kiire internetiühenduse leviku toetamine valla territooriumil</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1104"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10 000</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10 000</w:t>
            </w:r>
          </w:p>
        </w:tc>
        <w:tc>
          <w:tcPr>
            <w:tcW w:w="939"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10 000</w:t>
            </w:r>
          </w:p>
        </w:tc>
        <w:tc>
          <w:tcPr>
            <w:tcW w:w="952" w:type="dxa"/>
            <w:tcBorders>
              <w:top w:val="nil"/>
              <w:left w:val="nil"/>
              <w:bottom w:val="single" w:sz="4" w:space="0" w:color="auto"/>
              <w:right w:val="single" w:sz="8"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10 000</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toetuse arvelt</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muude vahendite arvelt (omaosalus)</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10 000</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10 000</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10 000</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10 000</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b/>
                <w:bCs/>
                <w:sz w:val="20"/>
                <w:szCs w:val="20"/>
              </w:rPr>
            </w:pPr>
            <w:r>
              <w:rPr>
                <w:rFonts w:ascii="Arial" w:hAnsi="Arial" w:cs="Arial"/>
                <w:b/>
                <w:bCs/>
                <w:sz w:val="20"/>
                <w:szCs w:val="20"/>
              </w:rPr>
              <w:t>06 Avalike mänguväljakute ja sportimispaikade rajamine</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28 952</w:t>
            </w:r>
          </w:p>
        </w:tc>
        <w:tc>
          <w:tcPr>
            <w:tcW w:w="1104"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939"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952" w:type="dxa"/>
            <w:tcBorders>
              <w:top w:val="nil"/>
              <w:left w:val="nil"/>
              <w:bottom w:val="single" w:sz="4" w:space="0" w:color="auto"/>
              <w:right w:val="single" w:sz="8"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lastRenderedPageBreak/>
              <w:t>sh toetuse arvelt</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muude vahendite arvelt (omaosalus)</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28 952</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b/>
                <w:bCs/>
                <w:sz w:val="20"/>
                <w:szCs w:val="20"/>
              </w:rPr>
            </w:pPr>
            <w:r>
              <w:rPr>
                <w:rFonts w:ascii="Arial" w:hAnsi="Arial" w:cs="Arial"/>
                <w:b/>
                <w:bCs/>
                <w:sz w:val="20"/>
                <w:szCs w:val="20"/>
              </w:rPr>
              <w:t>06 Tänavavalgustus</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30 000</w:t>
            </w:r>
          </w:p>
        </w:tc>
        <w:tc>
          <w:tcPr>
            <w:tcW w:w="1104"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700 000</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360 000</w:t>
            </w:r>
          </w:p>
        </w:tc>
        <w:tc>
          <w:tcPr>
            <w:tcW w:w="939"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952" w:type="dxa"/>
            <w:tcBorders>
              <w:top w:val="nil"/>
              <w:left w:val="nil"/>
              <w:bottom w:val="single" w:sz="4" w:space="0" w:color="auto"/>
              <w:right w:val="single" w:sz="8"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toetuse arvelt</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470 000</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275 000</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muude vahendite arvelt (omaosalus)</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30 000</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230 000</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85 000</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b/>
                <w:bCs/>
                <w:sz w:val="20"/>
                <w:szCs w:val="20"/>
              </w:rPr>
            </w:pPr>
            <w:r>
              <w:rPr>
                <w:rFonts w:ascii="Arial" w:hAnsi="Arial" w:cs="Arial"/>
                <w:b/>
                <w:bCs/>
                <w:sz w:val="20"/>
                <w:szCs w:val="20"/>
              </w:rPr>
              <w:t>06 Alevike kanalisatsioon</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1104"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68 000</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939"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952" w:type="dxa"/>
            <w:tcBorders>
              <w:top w:val="nil"/>
              <w:left w:val="nil"/>
              <w:bottom w:val="single" w:sz="4" w:space="0" w:color="auto"/>
              <w:right w:val="single" w:sz="8"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85 000</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toetuse arvelt</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muude vahendite arvelt (omaosalus)</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68 000</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85 000</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b/>
                <w:bCs/>
                <w:sz w:val="20"/>
                <w:szCs w:val="20"/>
              </w:rPr>
            </w:pPr>
            <w:r>
              <w:rPr>
                <w:rFonts w:ascii="Arial" w:hAnsi="Arial" w:cs="Arial"/>
                <w:b/>
                <w:bCs/>
                <w:sz w:val="20"/>
                <w:szCs w:val="20"/>
              </w:rPr>
              <w:t>06 ÜVK arendamise kava investeeringute kaasrahastamine</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1104"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200 000</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200 000</w:t>
            </w:r>
          </w:p>
        </w:tc>
        <w:tc>
          <w:tcPr>
            <w:tcW w:w="939"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300 000</w:t>
            </w:r>
          </w:p>
        </w:tc>
        <w:tc>
          <w:tcPr>
            <w:tcW w:w="952" w:type="dxa"/>
            <w:tcBorders>
              <w:top w:val="nil"/>
              <w:left w:val="nil"/>
              <w:bottom w:val="single" w:sz="4" w:space="0" w:color="auto"/>
              <w:right w:val="single" w:sz="8"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300 000</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toetuse arvelt</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muude vahendite arvelt (omaosalus)</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200 000</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200 000</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300 000</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300 000</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b/>
                <w:bCs/>
                <w:sz w:val="20"/>
                <w:szCs w:val="20"/>
              </w:rPr>
            </w:pPr>
            <w:r>
              <w:rPr>
                <w:rFonts w:ascii="Arial" w:hAnsi="Arial" w:cs="Arial"/>
                <w:b/>
                <w:bCs/>
                <w:sz w:val="20"/>
                <w:szCs w:val="20"/>
              </w:rPr>
              <w:t>06 Laekvere kompostimisväljaku rajamine</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1104"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5 000</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150 000</w:t>
            </w:r>
          </w:p>
        </w:tc>
        <w:tc>
          <w:tcPr>
            <w:tcW w:w="939"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952" w:type="dxa"/>
            <w:tcBorders>
              <w:top w:val="nil"/>
              <w:left w:val="nil"/>
              <w:bottom w:val="single" w:sz="4" w:space="0" w:color="auto"/>
              <w:right w:val="single" w:sz="8"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toetuse arvelt</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muude vahendite arvelt (omaosalus)</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5 000</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150 000</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b/>
                <w:bCs/>
                <w:sz w:val="20"/>
                <w:szCs w:val="20"/>
              </w:rPr>
            </w:pPr>
            <w:r>
              <w:rPr>
                <w:rFonts w:ascii="Arial" w:hAnsi="Arial" w:cs="Arial"/>
                <w:b/>
                <w:bCs/>
                <w:sz w:val="20"/>
                <w:szCs w:val="20"/>
              </w:rPr>
              <w:t>06 Niiduki soetus</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7 091</w:t>
            </w:r>
          </w:p>
        </w:tc>
        <w:tc>
          <w:tcPr>
            <w:tcW w:w="1104"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939"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952" w:type="dxa"/>
            <w:tcBorders>
              <w:top w:val="nil"/>
              <w:left w:val="nil"/>
              <w:bottom w:val="single" w:sz="4" w:space="0" w:color="auto"/>
              <w:right w:val="single" w:sz="8"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toetuse arvelt</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muude vahendite arvelt (omaosalus)</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7 091</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b/>
                <w:bCs/>
                <w:sz w:val="20"/>
                <w:szCs w:val="20"/>
              </w:rPr>
            </w:pPr>
            <w:r>
              <w:rPr>
                <w:rFonts w:ascii="Arial" w:hAnsi="Arial" w:cs="Arial"/>
                <w:b/>
                <w:bCs/>
                <w:sz w:val="20"/>
                <w:szCs w:val="20"/>
              </w:rPr>
              <w:t>06 Kadila tuletõrje veevõtukoht</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7 200</w:t>
            </w:r>
          </w:p>
        </w:tc>
        <w:tc>
          <w:tcPr>
            <w:tcW w:w="1104"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939"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952" w:type="dxa"/>
            <w:tcBorders>
              <w:top w:val="nil"/>
              <w:left w:val="nil"/>
              <w:bottom w:val="single" w:sz="4" w:space="0" w:color="auto"/>
              <w:right w:val="single" w:sz="8"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toetuse arvelt</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muude vahendite arvelt (omaosalus)</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7 200</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b/>
                <w:bCs/>
                <w:sz w:val="20"/>
                <w:szCs w:val="20"/>
              </w:rPr>
            </w:pPr>
            <w:r>
              <w:rPr>
                <w:rFonts w:ascii="Arial" w:hAnsi="Arial" w:cs="Arial"/>
                <w:b/>
                <w:bCs/>
                <w:sz w:val="20"/>
                <w:szCs w:val="20"/>
              </w:rPr>
              <w:t>06 Kinnistute soetused</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4 027</w:t>
            </w:r>
          </w:p>
        </w:tc>
        <w:tc>
          <w:tcPr>
            <w:tcW w:w="1104"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939"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952" w:type="dxa"/>
            <w:tcBorders>
              <w:top w:val="nil"/>
              <w:left w:val="nil"/>
              <w:bottom w:val="single" w:sz="4" w:space="0" w:color="auto"/>
              <w:right w:val="single" w:sz="8"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toetuse arvelt</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muude vahendite arvelt (omaosalus)</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4 027</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b/>
                <w:bCs/>
                <w:sz w:val="20"/>
                <w:szCs w:val="20"/>
              </w:rPr>
            </w:pPr>
            <w:r>
              <w:rPr>
                <w:rFonts w:ascii="Arial" w:hAnsi="Arial" w:cs="Arial"/>
                <w:b/>
                <w:bCs/>
                <w:sz w:val="20"/>
                <w:szCs w:val="20"/>
              </w:rPr>
              <w:t>08 Pajusti Klubi-katus</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1104"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40 000</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939"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952" w:type="dxa"/>
            <w:tcBorders>
              <w:top w:val="nil"/>
              <w:left w:val="nil"/>
              <w:bottom w:val="single" w:sz="4" w:space="0" w:color="auto"/>
              <w:right w:val="single" w:sz="8"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toetuse arvelt</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muude vahendite arvelt (omaosalus)</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40 000</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b/>
                <w:bCs/>
                <w:sz w:val="20"/>
                <w:szCs w:val="20"/>
              </w:rPr>
            </w:pPr>
            <w:r>
              <w:rPr>
                <w:rFonts w:ascii="Arial" w:hAnsi="Arial" w:cs="Arial"/>
                <w:b/>
                <w:bCs/>
                <w:sz w:val="20"/>
                <w:szCs w:val="20"/>
              </w:rPr>
              <w:t>08 Laekvere Rahvamaja keldrisse lasketiiru rajamine</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6 180</w:t>
            </w:r>
          </w:p>
        </w:tc>
        <w:tc>
          <w:tcPr>
            <w:tcW w:w="1104"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84 820</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939"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952" w:type="dxa"/>
            <w:tcBorders>
              <w:top w:val="nil"/>
              <w:left w:val="nil"/>
              <w:bottom w:val="single" w:sz="4" w:space="0" w:color="auto"/>
              <w:right w:val="single" w:sz="8"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toetuse arvelt</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11 000</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20 000</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muude vahendite arvelt (omaosalus)</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-4 820</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64 820</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b/>
                <w:bCs/>
                <w:sz w:val="20"/>
                <w:szCs w:val="20"/>
              </w:rPr>
            </w:pPr>
            <w:r>
              <w:rPr>
                <w:rFonts w:ascii="Arial" w:hAnsi="Arial" w:cs="Arial"/>
                <w:b/>
                <w:bCs/>
                <w:sz w:val="20"/>
                <w:szCs w:val="20"/>
              </w:rPr>
              <w:t>08 Laekvere Rahvamaja, energiatõhusustööd (projekteerimine, ventilatsioon, soojustamine)</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9 249</w:t>
            </w:r>
          </w:p>
        </w:tc>
        <w:tc>
          <w:tcPr>
            <w:tcW w:w="1104"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32 000</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100 000</w:t>
            </w:r>
          </w:p>
        </w:tc>
        <w:tc>
          <w:tcPr>
            <w:tcW w:w="939"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952" w:type="dxa"/>
            <w:tcBorders>
              <w:top w:val="nil"/>
              <w:left w:val="nil"/>
              <w:bottom w:val="single" w:sz="4" w:space="0" w:color="auto"/>
              <w:right w:val="single" w:sz="8"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toetuse arvelt</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100 000</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muude vahendite arvelt (omaosalus)</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9 249</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32 000</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b/>
                <w:bCs/>
                <w:sz w:val="20"/>
                <w:szCs w:val="20"/>
              </w:rPr>
            </w:pPr>
            <w:r>
              <w:rPr>
                <w:rFonts w:ascii="Arial" w:hAnsi="Arial" w:cs="Arial"/>
                <w:b/>
                <w:bCs/>
                <w:sz w:val="20"/>
                <w:szCs w:val="20"/>
              </w:rPr>
              <w:t>08 Ulvi lasteaia aed koos mänguväljakuga</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16 000</w:t>
            </w:r>
          </w:p>
        </w:tc>
        <w:tc>
          <w:tcPr>
            <w:tcW w:w="1104"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939"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952" w:type="dxa"/>
            <w:tcBorders>
              <w:top w:val="nil"/>
              <w:left w:val="nil"/>
              <w:bottom w:val="single" w:sz="4" w:space="0" w:color="auto"/>
              <w:right w:val="single" w:sz="8"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toetuse arvelt</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muude vahendite arvelt (omaosalus)</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16 000</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b/>
                <w:bCs/>
                <w:sz w:val="20"/>
                <w:szCs w:val="20"/>
              </w:rPr>
            </w:pPr>
            <w:r>
              <w:rPr>
                <w:rFonts w:ascii="Arial" w:hAnsi="Arial" w:cs="Arial"/>
                <w:b/>
                <w:bCs/>
                <w:sz w:val="20"/>
                <w:szCs w:val="20"/>
              </w:rPr>
              <w:t>08 Vinni-Pajusti Rahvaraamatukogu, energiatõhusustööd</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6 000</w:t>
            </w:r>
          </w:p>
        </w:tc>
        <w:tc>
          <w:tcPr>
            <w:tcW w:w="1104"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939"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952" w:type="dxa"/>
            <w:tcBorders>
              <w:top w:val="nil"/>
              <w:left w:val="nil"/>
              <w:bottom w:val="single" w:sz="4" w:space="0" w:color="auto"/>
              <w:right w:val="single" w:sz="8"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toetuse arvelt</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muude vahendite arvelt (omaosalus)</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6 000</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b/>
                <w:bCs/>
                <w:sz w:val="20"/>
                <w:szCs w:val="20"/>
              </w:rPr>
            </w:pPr>
            <w:r>
              <w:rPr>
                <w:rFonts w:ascii="Arial" w:hAnsi="Arial" w:cs="Arial"/>
                <w:b/>
                <w:bCs/>
                <w:sz w:val="20"/>
                <w:szCs w:val="20"/>
              </w:rPr>
              <w:t>08 Viru-Jaagupi Rahvaraamatukogu küttesüsteem</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18 576</w:t>
            </w:r>
          </w:p>
        </w:tc>
        <w:tc>
          <w:tcPr>
            <w:tcW w:w="1104"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148 000</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939"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952" w:type="dxa"/>
            <w:tcBorders>
              <w:top w:val="nil"/>
              <w:left w:val="nil"/>
              <w:bottom w:val="single" w:sz="4" w:space="0" w:color="auto"/>
              <w:right w:val="single" w:sz="8"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toetuse arvelt</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muude vahendite arvelt (omaosalus)</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18 576</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148 000</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b/>
                <w:bCs/>
                <w:sz w:val="20"/>
                <w:szCs w:val="20"/>
              </w:rPr>
            </w:pPr>
            <w:r>
              <w:rPr>
                <w:rFonts w:ascii="Arial" w:hAnsi="Arial" w:cs="Arial"/>
                <w:b/>
                <w:bCs/>
                <w:sz w:val="20"/>
                <w:szCs w:val="20"/>
              </w:rPr>
              <w:t>08 Raudteepärandi projektis osalemine</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1104"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20 000</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41 000</w:t>
            </w:r>
          </w:p>
        </w:tc>
        <w:tc>
          <w:tcPr>
            <w:tcW w:w="939"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37 000</w:t>
            </w:r>
          </w:p>
        </w:tc>
        <w:tc>
          <w:tcPr>
            <w:tcW w:w="952" w:type="dxa"/>
            <w:tcBorders>
              <w:top w:val="nil"/>
              <w:left w:val="nil"/>
              <w:bottom w:val="single" w:sz="4" w:space="0" w:color="auto"/>
              <w:right w:val="single" w:sz="8"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toetuse arvelt</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16 900</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65 910</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muude vahendite arvelt (omaosalus)</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20 000</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24 100</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-28 910</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b/>
                <w:bCs/>
                <w:sz w:val="20"/>
                <w:szCs w:val="20"/>
              </w:rPr>
            </w:pPr>
            <w:r>
              <w:rPr>
                <w:rFonts w:ascii="Arial" w:hAnsi="Arial" w:cs="Arial"/>
                <w:b/>
                <w:bCs/>
                <w:sz w:val="20"/>
                <w:szCs w:val="20"/>
              </w:rPr>
              <w:t xml:space="preserve">08 Laekvere </w:t>
            </w:r>
            <w:proofErr w:type="spellStart"/>
            <w:r>
              <w:rPr>
                <w:rFonts w:ascii="Arial" w:hAnsi="Arial" w:cs="Arial"/>
                <w:b/>
                <w:bCs/>
                <w:sz w:val="20"/>
                <w:szCs w:val="20"/>
              </w:rPr>
              <w:t>kergliiklustee</w:t>
            </w:r>
            <w:proofErr w:type="spellEnd"/>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1104"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25 000</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185 000</w:t>
            </w:r>
          </w:p>
        </w:tc>
        <w:tc>
          <w:tcPr>
            <w:tcW w:w="939"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952" w:type="dxa"/>
            <w:tcBorders>
              <w:top w:val="nil"/>
              <w:left w:val="nil"/>
              <w:bottom w:val="single" w:sz="4" w:space="0" w:color="auto"/>
              <w:right w:val="single" w:sz="8"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toetuse arvelt</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muude vahendite arvelt (omaosalus)</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25 000</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185 000</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b/>
                <w:bCs/>
                <w:sz w:val="20"/>
                <w:szCs w:val="20"/>
              </w:rPr>
            </w:pPr>
            <w:r>
              <w:rPr>
                <w:rFonts w:ascii="Arial" w:hAnsi="Arial" w:cs="Arial"/>
                <w:b/>
                <w:bCs/>
                <w:sz w:val="20"/>
                <w:szCs w:val="20"/>
              </w:rPr>
              <w:lastRenderedPageBreak/>
              <w:t xml:space="preserve">08 Viru-Jaagupi – </w:t>
            </w:r>
            <w:proofErr w:type="spellStart"/>
            <w:r>
              <w:rPr>
                <w:rFonts w:ascii="Arial" w:hAnsi="Arial" w:cs="Arial"/>
                <w:b/>
                <w:bCs/>
                <w:sz w:val="20"/>
                <w:szCs w:val="20"/>
              </w:rPr>
              <w:t>Kannastiku</w:t>
            </w:r>
            <w:proofErr w:type="spellEnd"/>
            <w:r>
              <w:rPr>
                <w:rFonts w:ascii="Arial" w:hAnsi="Arial" w:cs="Arial"/>
                <w:b/>
                <w:bCs/>
                <w:sz w:val="20"/>
                <w:szCs w:val="20"/>
              </w:rPr>
              <w:t xml:space="preserve"> </w:t>
            </w:r>
            <w:proofErr w:type="spellStart"/>
            <w:r>
              <w:rPr>
                <w:rFonts w:ascii="Arial" w:hAnsi="Arial" w:cs="Arial"/>
                <w:b/>
                <w:bCs/>
                <w:sz w:val="20"/>
                <w:szCs w:val="20"/>
              </w:rPr>
              <w:t>kergliiklustee</w:t>
            </w:r>
            <w:proofErr w:type="spellEnd"/>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5 265</w:t>
            </w:r>
          </w:p>
        </w:tc>
        <w:tc>
          <w:tcPr>
            <w:tcW w:w="1104"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250 000</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939"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952" w:type="dxa"/>
            <w:tcBorders>
              <w:top w:val="nil"/>
              <w:left w:val="nil"/>
              <w:bottom w:val="single" w:sz="4" w:space="0" w:color="auto"/>
              <w:right w:val="single" w:sz="8"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toetuse arvelt</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muude vahendite arvelt (omaosalus)</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5 265</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250 000</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b/>
                <w:bCs/>
                <w:sz w:val="20"/>
                <w:szCs w:val="20"/>
              </w:rPr>
            </w:pPr>
            <w:r>
              <w:rPr>
                <w:rFonts w:ascii="Arial" w:hAnsi="Arial" w:cs="Arial"/>
                <w:b/>
                <w:bCs/>
                <w:sz w:val="20"/>
                <w:szCs w:val="20"/>
              </w:rPr>
              <w:t xml:space="preserve">08 Ulvi-Kabala </w:t>
            </w:r>
            <w:proofErr w:type="spellStart"/>
            <w:r>
              <w:rPr>
                <w:rFonts w:ascii="Arial" w:hAnsi="Arial" w:cs="Arial"/>
                <w:b/>
                <w:bCs/>
                <w:sz w:val="20"/>
                <w:szCs w:val="20"/>
              </w:rPr>
              <w:t>kergliiklustee</w:t>
            </w:r>
            <w:proofErr w:type="spellEnd"/>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304 872</w:t>
            </w:r>
          </w:p>
        </w:tc>
        <w:tc>
          <w:tcPr>
            <w:tcW w:w="1104"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939"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952" w:type="dxa"/>
            <w:tcBorders>
              <w:top w:val="nil"/>
              <w:left w:val="nil"/>
              <w:bottom w:val="single" w:sz="4" w:space="0" w:color="auto"/>
              <w:right w:val="single" w:sz="8"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toetuse arvelt</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muude vahendite arvelt (omaosalus)</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304 872</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b/>
                <w:bCs/>
                <w:sz w:val="20"/>
                <w:szCs w:val="20"/>
              </w:rPr>
            </w:pPr>
            <w:r>
              <w:rPr>
                <w:rFonts w:ascii="Arial" w:hAnsi="Arial" w:cs="Arial"/>
                <w:b/>
                <w:bCs/>
                <w:sz w:val="20"/>
                <w:szCs w:val="20"/>
              </w:rPr>
              <w:t>08 Roela Rahvamaja veevõtusüsteem</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1 478</w:t>
            </w:r>
          </w:p>
        </w:tc>
        <w:tc>
          <w:tcPr>
            <w:tcW w:w="1104"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939"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952" w:type="dxa"/>
            <w:tcBorders>
              <w:top w:val="nil"/>
              <w:left w:val="nil"/>
              <w:bottom w:val="single" w:sz="4" w:space="0" w:color="auto"/>
              <w:right w:val="single" w:sz="8"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toetuse arvelt</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muude vahendite arvelt (omaosalus)</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1 478</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b/>
                <w:bCs/>
                <w:sz w:val="20"/>
                <w:szCs w:val="20"/>
              </w:rPr>
            </w:pPr>
            <w:r>
              <w:rPr>
                <w:rFonts w:ascii="Arial" w:hAnsi="Arial" w:cs="Arial"/>
                <w:b/>
                <w:bCs/>
                <w:sz w:val="20"/>
                <w:szCs w:val="20"/>
              </w:rPr>
              <w:t>09 Pajusti Lasteaia rühmaruumide remont</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55 000</w:t>
            </w:r>
          </w:p>
        </w:tc>
        <w:tc>
          <w:tcPr>
            <w:tcW w:w="1104"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80 000</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90 000</w:t>
            </w:r>
          </w:p>
        </w:tc>
        <w:tc>
          <w:tcPr>
            <w:tcW w:w="939"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952" w:type="dxa"/>
            <w:tcBorders>
              <w:top w:val="nil"/>
              <w:left w:val="nil"/>
              <w:bottom w:val="single" w:sz="4" w:space="0" w:color="auto"/>
              <w:right w:val="single" w:sz="8"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toetuse arvelt</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muude vahendite arvelt (omaosalus)</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55 000</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80 000</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90 000</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b/>
                <w:bCs/>
                <w:sz w:val="20"/>
                <w:szCs w:val="20"/>
              </w:rPr>
            </w:pPr>
            <w:r>
              <w:rPr>
                <w:rFonts w:ascii="Arial" w:hAnsi="Arial" w:cs="Arial"/>
                <w:b/>
                <w:bCs/>
                <w:sz w:val="20"/>
                <w:szCs w:val="20"/>
              </w:rPr>
              <w:t>09 Lasteaedade ja koolide õues õppetingimuste loomine</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1104"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10 000</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10 000</w:t>
            </w:r>
          </w:p>
        </w:tc>
        <w:tc>
          <w:tcPr>
            <w:tcW w:w="939"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10 000</w:t>
            </w:r>
          </w:p>
        </w:tc>
        <w:tc>
          <w:tcPr>
            <w:tcW w:w="952" w:type="dxa"/>
            <w:tcBorders>
              <w:top w:val="nil"/>
              <w:left w:val="nil"/>
              <w:bottom w:val="single" w:sz="4" w:space="0" w:color="auto"/>
              <w:right w:val="single" w:sz="8"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10 000</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toetuse arvelt</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muude vahendite arvelt (omaosalus)</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10 000</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10 000</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10 000</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10 000</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b/>
                <w:bCs/>
                <w:sz w:val="20"/>
                <w:szCs w:val="20"/>
              </w:rPr>
            </w:pPr>
            <w:r>
              <w:rPr>
                <w:rFonts w:ascii="Arial" w:hAnsi="Arial" w:cs="Arial"/>
                <w:b/>
                <w:bCs/>
                <w:sz w:val="20"/>
                <w:szCs w:val="20"/>
              </w:rPr>
              <w:t>09 Kulina Lasteaed-reoveepuhasti</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82 000</w:t>
            </w:r>
          </w:p>
        </w:tc>
        <w:tc>
          <w:tcPr>
            <w:tcW w:w="1104"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939"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952" w:type="dxa"/>
            <w:tcBorders>
              <w:top w:val="nil"/>
              <w:left w:val="nil"/>
              <w:bottom w:val="single" w:sz="4" w:space="0" w:color="auto"/>
              <w:right w:val="single" w:sz="8"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toetuse arvelt</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muude vahendite arvelt (omaosalus)</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82 000</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b/>
                <w:bCs/>
                <w:sz w:val="20"/>
                <w:szCs w:val="20"/>
              </w:rPr>
            </w:pPr>
            <w:r>
              <w:rPr>
                <w:rFonts w:ascii="Arial" w:hAnsi="Arial" w:cs="Arial"/>
                <w:b/>
                <w:bCs/>
                <w:sz w:val="20"/>
                <w:szCs w:val="20"/>
              </w:rPr>
              <w:t>09 Roela kool-küttesüsteem ja fassaad</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47 049</w:t>
            </w:r>
          </w:p>
        </w:tc>
        <w:tc>
          <w:tcPr>
            <w:tcW w:w="1104"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95 000</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80 000</w:t>
            </w:r>
          </w:p>
        </w:tc>
        <w:tc>
          <w:tcPr>
            <w:tcW w:w="939"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952" w:type="dxa"/>
            <w:tcBorders>
              <w:top w:val="nil"/>
              <w:left w:val="nil"/>
              <w:bottom w:val="single" w:sz="4" w:space="0" w:color="auto"/>
              <w:right w:val="single" w:sz="8"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toetuse arvelt</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muude vahendite arvelt (omaosalus)</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47 049</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95 000</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80 000</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b/>
                <w:bCs/>
                <w:sz w:val="20"/>
                <w:szCs w:val="20"/>
              </w:rPr>
            </w:pPr>
            <w:r>
              <w:rPr>
                <w:rFonts w:ascii="Arial" w:hAnsi="Arial" w:cs="Arial"/>
                <w:b/>
                <w:bCs/>
                <w:sz w:val="20"/>
                <w:szCs w:val="20"/>
              </w:rPr>
              <w:t>09 Tudu kooli küttesüsteem</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10 000</w:t>
            </w:r>
          </w:p>
        </w:tc>
        <w:tc>
          <w:tcPr>
            <w:tcW w:w="1104"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51 000</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939"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952" w:type="dxa"/>
            <w:tcBorders>
              <w:top w:val="nil"/>
              <w:left w:val="nil"/>
              <w:bottom w:val="single" w:sz="4" w:space="0" w:color="auto"/>
              <w:right w:val="single" w:sz="8"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toetuse arvelt</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muude vahendite arvelt (omaosalus)</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10 000</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51 000</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b/>
                <w:bCs/>
                <w:sz w:val="20"/>
                <w:szCs w:val="20"/>
              </w:rPr>
            </w:pPr>
            <w:r>
              <w:rPr>
                <w:rFonts w:ascii="Arial" w:hAnsi="Arial" w:cs="Arial"/>
                <w:b/>
                <w:bCs/>
                <w:sz w:val="20"/>
                <w:szCs w:val="20"/>
              </w:rPr>
              <w:t>09 Muuga-Laekvere Kooli Laekvere koolimaja katuse vahetus, fassaadi remont</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75 000</w:t>
            </w:r>
          </w:p>
        </w:tc>
        <w:tc>
          <w:tcPr>
            <w:tcW w:w="1104"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350 000</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939"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952" w:type="dxa"/>
            <w:tcBorders>
              <w:top w:val="nil"/>
              <w:left w:val="nil"/>
              <w:bottom w:val="single" w:sz="4" w:space="0" w:color="auto"/>
              <w:right w:val="single" w:sz="8"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toetuse arvelt</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muude vahendite arvelt (omaosalus)</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75 000</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350 000</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b/>
                <w:bCs/>
                <w:sz w:val="20"/>
                <w:szCs w:val="20"/>
              </w:rPr>
            </w:pPr>
            <w:r>
              <w:rPr>
                <w:rFonts w:ascii="Arial" w:hAnsi="Arial" w:cs="Arial"/>
                <w:b/>
                <w:bCs/>
                <w:sz w:val="20"/>
                <w:szCs w:val="20"/>
              </w:rPr>
              <w:t>09 Vinni-Pajusti Gümnaasiumi küttesüsteemi rekonstrueerimine</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1104"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60 000</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939"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952" w:type="dxa"/>
            <w:tcBorders>
              <w:top w:val="nil"/>
              <w:left w:val="nil"/>
              <w:bottom w:val="single" w:sz="4" w:space="0" w:color="auto"/>
              <w:right w:val="single" w:sz="8"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toetuse arvelt</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muude vahendite arvelt (omaosalus)</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60 000</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b/>
                <w:bCs/>
                <w:sz w:val="20"/>
                <w:szCs w:val="20"/>
              </w:rPr>
            </w:pPr>
            <w:r>
              <w:rPr>
                <w:rFonts w:ascii="Arial" w:hAnsi="Arial" w:cs="Arial"/>
                <w:b/>
                <w:bCs/>
                <w:sz w:val="20"/>
                <w:szCs w:val="20"/>
              </w:rPr>
              <w:t xml:space="preserve">09 ATV Huvitegevuse </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13 869</w:t>
            </w:r>
          </w:p>
        </w:tc>
        <w:tc>
          <w:tcPr>
            <w:tcW w:w="1104"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939"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952" w:type="dxa"/>
            <w:tcBorders>
              <w:top w:val="nil"/>
              <w:left w:val="nil"/>
              <w:bottom w:val="single" w:sz="4" w:space="0" w:color="auto"/>
              <w:right w:val="single" w:sz="8"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toetuse arvelt</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13 869</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muude vahendite arvelt (omaosalus)</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b/>
                <w:bCs/>
                <w:sz w:val="20"/>
                <w:szCs w:val="20"/>
              </w:rPr>
            </w:pPr>
            <w:r>
              <w:rPr>
                <w:rFonts w:ascii="Arial" w:hAnsi="Arial" w:cs="Arial"/>
                <w:b/>
                <w:bCs/>
                <w:sz w:val="20"/>
                <w:szCs w:val="20"/>
              </w:rPr>
              <w:t>10 Ulvi Kodu, energiatõhusustööd</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22 000</w:t>
            </w:r>
          </w:p>
        </w:tc>
        <w:tc>
          <w:tcPr>
            <w:tcW w:w="1104"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400 000</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250 000</w:t>
            </w:r>
          </w:p>
        </w:tc>
        <w:tc>
          <w:tcPr>
            <w:tcW w:w="939"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952" w:type="dxa"/>
            <w:tcBorders>
              <w:top w:val="nil"/>
              <w:left w:val="nil"/>
              <w:bottom w:val="single" w:sz="4" w:space="0" w:color="auto"/>
              <w:right w:val="single" w:sz="8"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toetuse arvelt</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200 000</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28 000</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muude vahendite arvelt (omaosalus)</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22 000</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200 000</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222 000</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b/>
                <w:bCs/>
                <w:sz w:val="20"/>
                <w:szCs w:val="20"/>
              </w:rPr>
            </w:pPr>
            <w:r>
              <w:rPr>
                <w:rFonts w:ascii="Arial" w:hAnsi="Arial" w:cs="Arial"/>
                <w:b/>
                <w:bCs/>
                <w:sz w:val="20"/>
                <w:szCs w:val="20"/>
              </w:rPr>
              <w:t>10 Ulvi teeninduskeskuse / arstipunkti soojustamine</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1104"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5 000</w:t>
            </w:r>
          </w:p>
        </w:tc>
        <w:tc>
          <w:tcPr>
            <w:tcW w:w="1021"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25 000</w:t>
            </w:r>
          </w:p>
        </w:tc>
        <w:tc>
          <w:tcPr>
            <w:tcW w:w="939" w:type="dxa"/>
            <w:tcBorders>
              <w:top w:val="nil"/>
              <w:left w:val="nil"/>
              <w:bottom w:val="single" w:sz="4" w:space="0" w:color="auto"/>
              <w:right w:val="single" w:sz="4"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c>
          <w:tcPr>
            <w:tcW w:w="952" w:type="dxa"/>
            <w:tcBorders>
              <w:top w:val="nil"/>
              <w:left w:val="nil"/>
              <w:bottom w:val="single" w:sz="4" w:space="0" w:color="auto"/>
              <w:right w:val="single" w:sz="8" w:space="0" w:color="auto"/>
            </w:tcBorders>
            <w:shd w:val="clear" w:color="000000" w:fill="969696"/>
            <w:noWrap/>
            <w:vAlign w:val="bottom"/>
            <w:hideMark/>
          </w:tcPr>
          <w:p w:rsidR="00EA10B8" w:rsidRDefault="00EA10B8" w:rsidP="00EA10B8">
            <w:pPr>
              <w:jc w:val="right"/>
              <w:rPr>
                <w:rFonts w:ascii="Arial" w:hAnsi="Arial" w:cs="Arial"/>
                <w:b/>
                <w:bCs/>
                <w:sz w:val="20"/>
                <w:szCs w:val="20"/>
              </w:rPr>
            </w:pPr>
            <w:r>
              <w:rPr>
                <w:rFonts w:ascii="Arial" w:hAnsi="Arial" w:cs="Arial"/>
                <w:b/>
                <w:bCs/>
                <w:sz w:val="20"/>
                <w:szCs w:val="20"/>
              </w:rPr>
              <w:t>0</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toetuse arvelt</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r w:rsidR="00EA10B8" w:rsidRPr="00E57359" w:rsidTr="00E57359">
        <w:trPr>
          <w:trHeight w:val="250"/>
        </w:trPr>
        <w:tc>
          <w:tcPr>
            <w:tcW w:w="5163" w:type="dxa"/>
            <w:tcBorders>
              <w:top w:val="nil"/>
              <w:left w:val="single" w:sz="8" w:space="0" w:color="auto"/>
              <w:bottom w:val="single" w:sz="4" w:space="0" w:color="auto"/>
              <w:right w:val="single" w:sz="4" w:space="0" w:color="auto"/>
            </w:tcBorders>
            <w:shd w:val="clear" w:color="auto" w:fill="auto"/>
            <w:vAlign w:val="bottom"/>
            <w:hideMark/>
          </w:tcPr>
          <w:p w:rsidR="00EA10B8" w:rsidRDefault="00EA10B8" w:rsidP="00EA10B8">
            <w:pPr>
              <w:rPr>
                <w:rFonts w:ascii="Arial" w:hAnsi="Arial" w:cs="Arial"/>
                <w:i/>
                <w:iCs/>
                <w:sz w:val="16"/>
                <w:szCs w:val="16"/>
              </w:rPr>
            </w:pPr>
            <w:r>
              <w:rPr>
                <w:rFonts w:ascii="Arial" w:hAnsi="Arial" w:cs="Arial"/>
                <w:i/>
                <w:iCs/>
                <w:sz w:val="16"/>
                <w:szCs w:val="16"/>
              </w:rPr>
              <w:t>sh muude vahendite arvelt (omaosalus)</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1104"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5 000</w:t>
            </w:r>
          </w:p>
        </w:tc>
        <w:tc>
          <w:tcPr>
            <w:tcW w:w="1021"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jc w:val="right"/>
              <w:rPr>
                <w:rFonts w:ascii="Arial" w:hAnsi="Arial" w:cs="Arial"/>
                <w:sz w:val="20"/>
                <w:szCs w:val="20"/>
              </w:rPr>
            </w:pPr>
            <w:r>
              <w:rPr>
                <w:rFonts w:ascii="Arial" w:hAnsi="Arial" w:cs="Arial"/>
                <w:sz w:val="20"/>
                <w:szCs w:val="20"/>
              </w:rPr>
              <w:t>25 000</w:t>
            </w:r>
          </w:p>
        </w:tc>
        <w:tc>
          <w:tcPr>
            <w:tcW w:w="939" w:type="dxa"/>
            <w:tcBorders>
              <w:top w:val="nil"/>
              <w:left w:val="nil"/>
              <w:bottom w:val="single" w:sz="4" w:space="0" w:color="auto"/>
              <w:right w:val="single" w:sz="4"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c>
          <w:tcPr>
            <w:tcW w:w="952" w:type="dxa"/>
            <w:tcBorders>
              <w:top w:val="nil"/>
              <w:left w:val="nil"/>
              <w:bottom w:val="single" w:sz="4" w:space="0" w:color="auto"/>
              <w:right w:val="single" w:sz="8" w:space="0" w:color="auto"/>
            </w:tcBorders>
            <w:shd w:val="clear" w:color="auto" w:fill="auto"/>
            <w:noWrap/>
            <w:vAlign w:val="bottom"/>
            <w:hideMark/>
          </w:tcPr>
          <w:p w:rsidR="00EA10B8" w:rsidRDefault="00EA10B8" w:rsidP="00EA10B8">
            <w:pPr>
              <w:rPr>
                <w:rFonts w:ascii="Arial" w:hAnsi="Arial" w:cs="Arial"/>
                <w:sz w:val="20"/>
                <w:szCs w:val="20"/>
              </w:rPr>
            </w:pPr>
            <w:r>
              <w:rPr>
                <w:rFonts w:ascii="Arial" w:hAnsi="Arial" w:cs="Arial"/>
                <w:sz w:val="20"/>
                <w:szCs w:val="20"/>
              </w:rPr>
              <w:t> </w:t>
            </w:r>
          </w:p>
        </w:tc>
      </w:tr>
    </w:tbl>
    <w:p w:rsidR="00C9099F" w:rsidRPr="00766396" w:rsidRDefault="00C9099F" w:rsidP="00766396">
      <w:pPr>
        <w:jc w:val="both"/>
        <w:rPr>
          <w:sz w:val="24"/>
          <w:szCs w:val="24"/>
        </w:rPr>
      </w:pPr>
    </w:p>
    <w:p w:rsidR="00037359" w:rsidRDefault="00CA2A8D" w:rsidP="00766396">
      <w:pPr>
        <w:spacing w:line="276" w:lineRule="auto"/>
        <w:jc w:val="both"/>
        <w:rPr>
          <w:sz w:val="24"/>
          <w:szCs w:val="24"/>
          <w:lang w:val="et-EE"/>
        </w:rPr>
      </w:pPr>
      <w:r>
        <w:rPr>
          <w:sz w:val="24"/>
          <w:szCs w:val="24"/>
          <w:lang w:val="et-EE"/>
        </w:rPr>
        <w:t xml:space="preserve">2019. aastal kajastatud investeeringud avalikele mänguväljakute rajamiseks erinevate tegevusvaldkondadesse on </w:t>
      </w:r>
      <w:r w:rsidR="00037359">
        <w:rPr>
          <w:sz w:val="24"/>
          <w:szCs w:val="24"/>
          <w:lang w:val="et-EE"/>
        </w:rPr>
        <w:t>202</w:t>
      </w:r>
      <w:r>
        <w:rPr>
          <w:sz w:val="24"/>
          <w:szCs w:val="24"/>
          <w:lang w:val="et-EE"/>
        </w:rPr>
        <w:t>0. aastal muudetud ning koondatud ühe tegevusvaldkonna alla.</w:t>
      </w:r>
    </w:p>
    <w:p w:rsidR="00CA2A8D" w:rsidRDefault="00CA2A8D" w:rsidP="00766396">
      <w:pPr>
        <w:spacing w:line="276" w:lineRule="auto"/>
        <w:jc w:val="both"/>
        <w:rPr>
          <w:sz w:val="24"/>
          <w:szCs w:val="24"/>
          <w:lang w:val="et-EE"/>
        </w:rPr>
      </w:pPr>
    </w:p>
    <w:p w:rsidR="00766396" w:rsidRPr="00766396" w:rsidRDefault="00766396" w:rsidP="00766396">
      <w:pPr>
        <w:spacing w:line="276" w:lineRule="auto"/>
        <w:jc w:val="both"/>
        <w:rPr>
          <w:sz w:val="24"/>
          <w:szCs w:val="24"/>
          <w:lang w:val="et-EE"/>
        </w:rPr>
      </w:pPr>
      <w:r w:rsidRPr="00766396">
        <w:rPr>
          <w:sz w:val="24"/>
          <w:szCs w:val="24"/>
          <w:lang w:val="et-EE"/>
        </w:rPr>
        <w:t>Eesmärgid investeeringute teostamisel:</w:t>
      </w:r>
    </w:p>
    <w:p w:rsidR="00766396" w:rsidRPr="00766396" w:rsidRDefault="00766396" w:rsidP="00261F5C">
      <w:pPr>
        <w:pStyle w:val="ListParagraph"/>
        <w:widowControl/>
        <w:numPr>
          <w:ilvl w:val="0"/>
          <w:numId w:val="11"/>
        </w:numPr>
        <w:autoSpaceDE/>
        <w:autoSpaceDN/>
        <w:spacing w:after="200" w:line="276" w:lineRule="auto"/>
        <w:contextualSpacing/>
        <w:jc w:val="both"/>
        <w:rPr>
          <w:sz w:val="24"/>
          <w:szCs w:val="24"/>
        </w:rPr>
      </w:pPr>
      <w:r w:rsidRPr="00766396">
        <w:rPr>
          <w:sz w:val="24"/>
          <w:szCs w:val="24"/>
        </w:rPr>
        <w:t>Tagada Vi</w:t>
      </w:r>
      <w:r>
        <w:rPr>
          <w:sz w:val="24"/>
          <w:szCs w:val="24"/>
        </w:rPr>
        <w:t xml:space="preserve">nni </w:t>
      </w:r>
      <w:r w:rsidRPr="00766396">
        <w:rPr>
          <w:sz w:val="24"/>
          <w:szCs w:val="24"/>
        </w:rPr>
        <w:t>valla ühinemislepingus olevate investeeringute täitmine;</w:t>
      </w:r>
    </w:p>
    <w:p w:rsidR="00766396" w:rsidRPr="00766396" w:rsidRDefault="00766396" w:rsidP="00261F5C">
      <w:pPr>
        <w:pStyle w:val="ListParagraph"/>
        <w:widowControl/>
        <w:numPr>
          <w:ilvl w:val="0"/>
          <w:numId w:val="11"/>
        </w:numPr>
        <w:autoSpaceDE/>
        <w:autoSpaceDN/>
        <w:spacing w:after="200" w:line="276" w:lineRule="auto"/>
        <w:contextualSpacing/>
        <w:jc w:val="both"/>
        <w:rPr>
          <w:sz w:val="24"/>
          <w:szCs w:val="24"/>
        </w:rPr>
      </w:pPr>
      <w:r w:rsidRPr="00766396">
        <w:rPr>
          <w:sz w:val="24"/>
          <w:szCs w:val="24"/>
        </w:rPr>
        <w:lastRenderedPageBreak/>
        <w:t>Võimalikult palju teha vajaduspõhiseid taotlusi Euroopa Liidu struktuurifondidesse - saamaks maksimaalselt lisaraha valda vajalikeks investeeringuteks;</w:t>
      </w:r>
    </w:p>
    <w:p w:rsidR="00766396" w:rsidRPr="00766396" w:rsidRDefault="00766396" w:rsidP="00261F5C">
      <w:pPr>
        <w:pStyle w:val="ListParagraph"/>
        <w:widowControl/>
        <w:numPr>
          <w:ilvl w:val="0"/>
          <w:numId w:val="11"/>
        </w:numPr>
        <w:autoSpaceDE/>
        <w:autoSpaceDN/>
        <w:spacing w:after="200" w:line="276" w:lineRule="auto"/>
        <w:contextualSpacing/>
        <w:jc w:val="both"/>
        <w:rPr>
          <w:sz w:val="24"/>
          <w:szCs w:val="24"/>
        </w:rPr>
      </w:pPr>
      <w:r w:rsidRPr="00766396">
        <w:rPr>
          <w:sz w:val="24"/>
          <w:szCs w:val="24"/>
        </w:rPr>
        <w:t>Investeeringutega saavutada efekt majanduskuludes;</w:t>
      </w:r>
    </w:p>
    <w:p w:rsidR="00037359" w:rsidRPr="00037359" w:rsidRDefault="00766396" w:rsidP="00037359">
      <w:pPr>
        <w:pStyle w:val="ListParagraph"/>
        <w:widowControl/>
        <w:numPr>
          <w:ilvl w:val="0"/>
          <w:numId w:val="11"/>
        </w:numPr>
        <w:autoSpaceDE/>
        <w:autoSpaceDN/>
        <w:spacing w:line="276" w:lineRule="auto"/>
        <w:contextualSpacing/>
        <w:jc w:val="both"/>
        <w:rPr>
          <w:sz w:val="24"/>
          <w:szCs w:val="24"/>
        </w:rPr>
      </w:pPr>
      <w:r w:rsidRPr="00766396">
        <w:rPr>
          <w:sz w:val="24"/>
          <w:szCs w:val="24"/>
        </w:rPr>
        <w:t>Investeeringute tegemisel lähtuda valla tasakaalustatud ja jätkusuutlikust arengupõhimõttest.</w:t>
      </w:r>
    </w:p>
    <w:p w:rsidR="00C9099F" w:rsidRDefault="00C9099F" w:rsidP="00766396">
      <w:pPr>
        <w:jc w:val="both"/>
        <w:rPr>
          <w:sz w:val="24"/>
          <w:szCs w:val="24"/>
        </w:rPr>
      </w:pPr>
    </w:p>
    <w:p w:rsidR="006636D2" w:rsidRPr="00766396" w:rsidRDefault="006636D2" w:rsidP="00766396">
      <w:pPr>
        <w:jc w:val="both"/>
        <w:rPr>
          <w:sz w:val="24"/>
          <w:szCs w:val="24"/>
        </w:rPr>
      </w:pPr>
      <w:r w:rsidRPr="00D66362">
        <w:rPr>
          <w:sz w:val="24"/>
          <w:szCs w:val="24"/>
        </w:rPr>
        <w:t>Investeeringute planeerimisel on arvestatud saadavate toetustega Ühtekuuluvusfondist ja</w:t>
      </w:r>
      <w:r w:rsidR="00D66362">
        <w:rPr>
          <w:sz w:val="24"/>
          <w:szCs w:val="24"/>
        </w:rPr>
        <w:t xml:space="preserve"> Rahandusministeeriumist</w:t>
      </w:r>
      <w:r w:rsidR="00037359">
        <w:rPr>
          <w:sz w:val="24"/>
          <w:szCs w:val="24"/>
        </w:rPr>
        <w:t>.</w:t>
      </w:r>
      <w:r>
        <w:rPr>
          <w:sz w:val="24"/>
          <w:szCs w:val="24"/>
        </w:rPr>
        <w:t xml:space="preserve"> </w:t>
      </w:r>
    </w:p>
    <w:p w:rsidR="006D719C" w:rsidRDefault="006D719C" w:rsidP="00326510">
      <w:pPr>
        <w:jc w:val="both"/>
        <w:rPr>
          <w:sz w:val="24"/>
          <w:szCs w:val="24"/>
        </w:rPr>
      </w:pPr>
    </w:p>
    <w:p w:rsidR="00770434" w:rsidRPr="009F6F14" w:rsidRDefault="00770434" w:rsidP="00326510">
      <w:pPr>
        <w:jc w:val="both"/>
        <w:rPr>
          <w:sz w:val="24"/>
          <w:szCs w:val="24"/>
        </w:rPr>
      </w:pPr>
    </w:p>
    <w:p w:rsidR="006D719C" w:rsidRDefault="005061AD" w:rsidP="00FA5C8A">
      <w:pPr>
        <w:pStyle w:val="Heading1"/>
        <w:numPr>
          <w:ilvl w:val="1"/>
          <w:numId w:val="2"/>
        </w:numPr>
      </w:pPr>
      <w:bookmarkStart w:id="16" w:name="_Toc22542303"/>
      <w:r>
        <w:t>Finantseerimistegevus</w:t>
      </w:r>
      <w:bookmarkEnd w:id="16"/>
    </w:p>
    <w:p w:rsidR="005061AD" w:rsidRDefault="005061AD" w:rsidP="00C501E0"/>
    <w:p w:rsidR="005061AD" w:rsidRDefault="005061AD" w:rsidP="005061AD">
      <w:pPr>
        <w:jc w:val="both"/>
        <w:rPr>
          <w:sz w:val="24"/>
          <w:szCs w:val="24"/>
        </w:rPr>
      </w:pPr>
      <w:r w:rsidRPr="005061AD">
        <w:rPr>
          <w:sz w:val="24"/>
          <w:szCs w:val="24"/>
        </w:rPr>
        <w:t>Finantse</w:t>
      </w:r>
      <w:r>
        <w:rPr>
          <w:sz w:val="24"/>
          <w:szCs w:val="24"/>
        </w:rPr>
        <w:t>erimistegevusena on kajastatud vallale</w:t>
      </w:r>
      <w:r w:rsidRPr="005061AD">
        <w:rPr>
          <w:sz w:val="24"/>
          <w:szCs w:val="24"/>
        </w:rPr>
        <w:t xml:space="preserve"> laenude võtmine ja võetud laenude põhiosa tagasimaksed vastavalt maksegraafikutele. </w:t>
      </w:r>
    </w:p>
    <w:p w:rsidR="0015450A" w:rsidRPr="006B77C1" w:rsidRDefault="0015450A" w:rsidP="006B77C1">
      <w:pPr>
        <w:widowControl/>
        <w:autoSpaceDE/>
        <w:autoSpaceDN/>
        <w:spacing w:after="200" w:line="276" w:lineRule="auto"/>
        <w:contextualSpacing/>
        <w:jc w:val="both"/>
        <w:rPr>
          <w:i/>
          <w:sz w:val="24"/>
          <w:szCs w:val="24"/>
          <w:lang w:val="et-EE"/>
        </w:rPr>
      </w:pPr>
    </w:p>
    <w:tbl>
      <w:tblPr>
        <w:tblW w:w="10196" w:type="dxa"/>
        <w:tblCellMar>
          <w:left w:w="70" w:type="dxa"/>
          <w:right w:w="70" w:type="dxa"/>
        </w:tblCellMar>
        <w:tblLook w:val="04A0" w:firstRow="1" w:lastRow="0" w:firstColumn="1" w:lastColumn="0" w:noHBand="0" w:noVBand="1"/>
      </w:tblPr>
      <w:tblGrid>
        <w:gridCol w:w="3940"/>
        <w:gridCol w:w="1255"/>
        <w:gridCol w:w="1358"/>
        <w:gridCol w:w="1255"/>
        <w:gridCol w:w="1154"/>
        <w:gridCol w:w="1234"/>
      </w:tblGrid>
      <w:tr w:rsidR="00770434" w:rsidRPr="00770434" w:rsidTr="00FA1C99">
        <w:trPr>
          <w:trHeight w:val="518"/>
        </w:trPr>
        <w:tc>
          <w:tcPr>
            <w:tcW w:w="3940" w:type="dxa"/>
            <w:tcBorders>
              <w:top w:val="single" w:sz="8" w:space="0" w:color="auto"/>
              <w:left w:val="single" w:sz="8" w:space="0" w:color="auto"/>
              <w:bottom w:val="single" w:sz="8" w:space="0" w:color="auto"/>
              <w:right w:val="single" w:sz="4" w:space="0" w:color="auto"/>
            </w:tcBorders>
            <w:shd w:val="clear" w:color="000000" w:fill="CCFFCC"/>
            <w:vAlign w:val="bottom"/>
            <w:hideMark/>
          </w:tcPr>
          <w:p w:rsidR="00770434" w:rsidRPr="00770434" w:rsidRDefault="00770434" w:rsidP="00770434">
            <w:pPr>
              <w:widowControl/>
              <w:autoSpaceDE/>
              <w:autoSpaceDN/>
              <w:jc w:val="center"/>
              <w:rPr>
                <w:rFonts w:ascii="Arial" w:hAnsi="Arial" w:cs="Arial"/>
                <w:b/>
                <w:bCs/>
                <w:sz w:val="20"/>
                <w:szCs w:val="20"/>
                <w:lang w:val="et-EE" w:eastAsia="et-EE"/>
              </w:rPr>
            </w:pPr>
            <w:r w:rsidRPr="00770434">
              <w:rPr>
                <w:rFonts w:ascii="Arial" w:hAnsi="Arial" w:cs="Arial"/>
                <w:b/>
                <w:bCs/>
                <w:sz w:val="20"/>
                <w:szCs w:val="20"/>
                <w:lang w:val="et-EE" w:eastAsia="et-EE"/>
              </w:rPr>
              <w:t> </w:t>
            </w:r>
          </w:p>
        </w:tc>
        <w:tc>
          <w:tcPr>
            <w:tcW w:w="1255" w:type="dxa"/>
            <w:tcBorders>
              <w:top w:val="single" w:sz="8" w:space="0" w:color="auto"/>
              <w:left w:val="nil"/>
              <w:bottom w:val="single" w:sz="8" w:space="0" w:color="auto"/>
              <w:right w:val="single" w:sz="4" w:space="0" w:color="auto"/>
            </w:tcBorders>
            <w:shd w:val="clear" w:color="000000" w:fill="CCFFCC"/>
            <w:vAlign w:val="bottom"/>
            <w:hideMark/>
          </w:tcPr>
          <w:p w:rsidR="00770434" w:rsidRPr="00770434" w:rsidRDefault="00770434" w:rsidP="00770434">
            <w:pPr>
              <w:widowControl/>
              <w:autoSpaceDE/>
              <w:autoSpaceDN/>
              <w:jc w:val="center"/>
              <w:rPr>
                <w:rFonts w:ascii="Arial" w:hAnsi="Arial" w:cs="Arial"/>
                <w:b/>
                <w:bCs/>
                <w:sz w:val="20"/>
                <w:szCs w:val="20"/>
                <w:lang w:val="et-EE" w:eastAsia="et-EE"/>
              </w:rPr>
            </w:pPr>
            <w:r w:rsidRPr="00770434">
              <w:rPr>
                <w:rFonts w:ascii="Arial" w:hAnsi="Arial" w:cs="Arial"/>
                <w:b/>
                <w:bCs/>
                <w:sz w:val="20"/>
                <w:szCs w:val="20"/>
                <w:lang w:val="et-EE" w:eastAsia="et-EE"/>
              </w:rPr>
              <w:t>2019 eeldatav täitmine</w:t>
            </w:r>
          </w:p>
        </w:tc>
        <w:tc>
          <w:tcPr>
            <w:tcW w:w="1358" w:type="dxa"/>
            <w:tcBorders>
              <w:top w:val="single" w:sz="8" w:space="0" w:color="auto"/>
              <w:left w:val="nil"/>
              <w:bottom w:val="single" w:sz="8" w:space="0" w:color="auto"/>
              <w:right w:val="single" w:sz="4" w:space="0" w:color="auto"/>
            </w:tcBorders>
            <w:shd w:val="clear" w:color="000000" w:fill="CCFFCC"/>
            <w:vAlign w:val="bottom"/>
            <w:hideMark/>
          </w:tcPr>
          <w:p w:rsidR="00770434" w:rsidRPr="00770434" w:rsidRDefault="00770434" w:rsidP="00770434">
            <w:pPr>
              <w:widowControl/>
              <w:autoSpaceDE/>
              <w:autoSpaceDN/>
              <w:jc w:val="center"/>
              <w:rPr>
                <w:rFonts w:ascii="Arial" w:hAnsi="Arial" w:cs="Arial"/>
                <w:b/>
                <w:bCs/>
                <w:sz w:val="20"/>
                <w:szCs w:val="20"/>
                <w:lang w:val="et-EE" w:eastAsia="et-EE"/>
              </w:rPr>
            </w:pPr>
            <w:r w:rsidRPr="00770434">
              <w:rPr>
                <w:rFonts w:ascii="Arial" w:hAnsi="Arial" w:cs="Arial"/>
                <w:b/>
                <w:bCs/>
                <w:sz w:val="20"/>
                <w:szCs w:val="20"/>
                <w:lang w:val="et-EE" w:eastAsia="et-EE"/>
              </w:rPr>
              <w:t xml:space="preserve">2020 eelarve  </w:t>
            </w:r>
          </w:p>
        </w:tc>
        <w:tc>
          <w:tcPr>
            <w:tcW w:w="1255" w:type="dxa"/>
            <w:tcBorders>
              <w:top w:val="single" w:sz="8" w:space="0" w:color="auto"/>
              <w:left w:val="nil"/>
              <w:bottom w:val="single" w:sz="8" w:space="0" w:color="auto"/>
              <w:right w:val="single" w:sz="4" w:space="0" w:color="auto"/>
            </w:tcBorders>
            <w:shd w:val="clear" w:color="000000" w:fill="CCFFCC"/>
            <w:vAlign w:val="bottom"/>
            <w:hideMark/>
          </w:tcPr>
          <w:p w:rsidR="00770434" w:rsidRPr="00770434" w:rsidRDefault="00770434" w:rsidP="00770434">
            <w:pPr>
              <w:widowControl/>
              <w:autoSpaceDE/>
              <w:autoSpaceDN/>
              <w:jc w:val="center"/>
              <w:rPr>
                <w:rFonts w:ascii="Arial" w:hAnsi="Arial" w:cs="Arial"/>
                <w:b/>
                <w:bCs/>
                <w:sz w:val="20"/>
                <w:szCs w:val="20"/>
                <w:lang w:val="et-EE" w:eastAsia="et-EE"/>
              </w:rPr>
            </w:pPr>
            <w:r w:rsidRPr="00770434">
              <w:rPr>
                <w:rFonts w:ascii="Arial" w:hAnsi="Arial" w:cs="Arial"/>
                <w:b/>
                <w:bCs/>
                <w:sz w:val="20"/>
                <w:szCs w:val="20"/>
                <w:lang w:val="et-EE" w:eastAsia="et-EE"/>
              </w:rPr>
              <w:t xml:space="preserve">2021 eelarve  </w:t>
            </w:r>
          </w:p>
        </w:tc>
        <w:tc>
          <w:tcPr>
            <w:tcW w:w="1154" w:type="dxa"/>
            <w:tcBorders>
              <w:top w:val="single" w:sz="8" w:space="0" w:color="auto"/>
              <w:left w:val="nil"/>
              <w:bottom w:val="single" w:sz="8" w:space="0" w:color="auto"/>
              <w:right w:val="single" w:sz="4" w:space="0" w:color="auto"/>
            </w:tcBorders>
            <w:shd w:val="clear" w:color="000000" w:fill="CCFFCC"/>
            <w:vAlign w:val="bottom"/>
            <w:hideMark/>
          </w:tcPr>
          <w:p w:rsidR="00770434" w:rsidRPr="00770434" w:rsidRDefault="00770434" w:rsidP="00770434">
            <w:pPr>
              <w:widowControl/>
              <w:autoSpaceDE/>
              <w:autoSpaceDN/>
              <w:jc w:val="center"/>
              <w:rPr>
                <w:rFonts w:ascii="Arial" w:hAnsi="Arial" w:cs="Arial"/>
                <w:b/>
                <w:bCs/>
                <w:sz w:val="20"/>
                <w:szCs w:val="20"/>
                <w:lang w:val="et-EE" w:eastAsia="et-EE"/>
              </w:rPr>
            </w:pPr>
            <w:r w:rsidRPr="00770434">
              <w:rPr>
                <w:rFonts w:ascii="Arial" w:hAnsi="Arial" w:cs="Arial"/>
                <w:b/>
                <w:bCs/>
                <w:sz w:val="20"/>
                <w:szCs w:val="20"/>
                <w:lang w:val="et-EE" w:eastAsia="et-EE"/>
              </w:rPr>
              <w:t xml:space="preserve">2022 eelarve  </w:t>
            </w:r>
          </w:p>
        </w:tc>
        <w:tc>
          <w:tcPr>
            <w:tcW w:w="1234" w:type="dxa"/>
            <w:tcBorders>
              <w:top w:val="single" w:sz="8" w:space="0" w:color="auto"/>
              <w:left w:val="nil"/>
              <w:bottom w:val="single" w:sz="8" w:space="0" w:color="auto"/>
              <w:right w:val="single" w:sz="8" w:space="0" w:color="auto"/>
            </w:tcBorders>
            <w:shd w:val="clear" w:color="000000" w:fill="CCFFCC"/>
            <w:vAlign w:val="bottom"/>
            <w:hideMark/>
          </w:tcPr>
          <w:p w:rsidR="00770434" w:rsidRPr="00770434" w:rsidRDefault="00770434" w:rsidP="00770434">
            <w:pPr>
              <w:widowControl/>
              <w:autoSpaceDE/>
              <w:autoSpaceDN/>
              <w:jc w:val="center"/>
              <w:rPr>
                <w:rFonts w:ascii="Arial" w:hAnsi="Arial" w:cs="Arial"/>
                <w:b/>
                <w:bCs/>
                <w:sz w:val="20"/>
                <w:szCs w:val="20"/>
                <w:lang w:val="et-EE" w:eastAsia="et-EE"/>
              </w:rPr>
            </w:pPr>
            <w:r w:rsidRPr="00770434">
              <w:rPr>
                <w:rFonts w:ascii="Arial" w:hAnsi="Arial" w:cs="Arial"/>
                <w:b/>
                <w:bCs/>
                <w:sz w:val="20"/>
                <w:szCs w:val="20"/>
                <w:lang w:val="et-EE" w:eastAsia="et-EE"/>
              </w:rPr>
              <w:t xml:space="preserve">2023 eelarve  </w:t>
            </w:r>
          </w:p>
        </w:tc>
      </w:tr>
      <w:tr w:rsidR="008D58BD" w:rsidRPr="00770434" w:rsidTr="00FA1C99">
        <w:trPr>
          <w:trHeight w:val="119"/>
        </w:trPr>
        <w:tc>
          <w:tcPr>
            <w:tcW w:w="3940" w:type="dxa"/>
            <w:tcBorders>
              <w:top w:val="nil"/>
              <w:left w:val="single" w:sz="8" w:space="0" w:color="auto"/>
              <w:bottom w:val="single" w:sz="4" w:space="0" w:color="auto"/>
              <w:right w:val="single" w:sz="4" w:space="0" w:color="auto"/>
            </w:tcBorders>
            <w:shd w:val="clear" w:color="auto" w:fill="auto"/>
            <w:vAlign w:val="bottom"/>
            <w:hideMark/>
          </w:tcPr>
          <w:p w:rsidR="008D58BD" w:rsidRPr="00770434" w:rsidRDefault="008D58BD" w:rsidP="008D58BD">
            <w:pPr>
              <w:widowControl/>
              <w:autoSpaceDE/>
              <w:autoSpaceDN/>
              <w:rPr>
                <w:rFonts w:ascii="Arial" w:hAnsi="Arial" w:cs="Arial"/>
                <w:b/>
                <w:bCs/>
                <w:sz w:val="20"/>
                <w:szCs w:val="20"/>
                <w:lang w:val="et-EE" w:eastAsia="et-EE"/>
              </w:rPr>
            </w:pPr>
            <w:r w:rsidRPr="00770434">
              <w:rPr>
                <w:rFonts w:ascii="Arial" w:hAnsi="Arial" w:cs="Arial"/>
                <w:b/>
                <w:bCs/>
                <w:sz w:val="20"/>
                <w:szCs w:val="20"/>
                <w:lang w:val="et-EE" w:eastAsia="et-EE"/>
              </w:rPr>
              <w:t>Finantseerimistegevus</w:t>
            </w:r>
          </w:p>
        </w:tc>
        <w:tc>
          <w:tcPr>
            <w:tcW w:w="1255" w:type="dxa"/>
            <w:tcBorders>
              <w:top w:val="nil"/>
              <w:left w:val="single" w:sz="4" w:space="0" w:color="auto"/>
              <w:bottom w:val="single" w:sz="4" w:space="0" w:color="auto"/>
              <w:right w:val="single" w:sz="4" w:space="0" w:color="auto"/>
            </w:tcBorders>
            <w:shd w:val="clear" w:color="000000" w:fill="C0C0C0"/>
            <w:vAlign w:val="bottom"/>
            <w:hideMark/>
          </w:tcPr>
          <w:p w:rsidR="008D58BD" w:rsidRDefault="008D58BD" w:rsidP="008D58BD">
            <w:pPr>
              <w:jc w:val="right"/>
              <w:rPr>
                <w:rFonts w:ascii="Arial" w:hAnsi="Arial" w:cs="Arial"/>
                <w:b/>
                <w:bCs/>
                <w:sz w:val="20"/>
                <w:szCs w:val="20"/>
                <w:lang w:val="et-EE" w:eastAsia="et-EE"/>
              </w:rPr>
            </w:pPr>
            <w:r>
              <w:rPr>
                <w:rFonts w:ascii="Arial" w:hAnsi="Arial" w:cs="Arial"/>
                <w:b/>
                <w:bCs/>
                <w:sz w:val="20"/>
                <w:szCs w:val="20"/>
              </w:rPr>
              <w:t>-55 090</w:t>
            </w:r>
          </w:p>
        </w:tc>
        <w:tc>
          <w:tcPr>
            <w:tcW w:w="1358" w:type="dxa"/>
            <w:tcBorders>
              <w:top w:val="nil"/>
              <w:left w:val="nil"/>
              <w:bottom w:val="single" w:sz="4" w:space="0" w:color="auto"/>
              <w:right w:val="single" w:sz="4" w:space="0" w:color="auto"/>
            </w:tcBorders>
            <w:shd w:val="clear" w:color="000000" w:fill="C0C0C0"/>
            <w:vAlign w:val="bottom"/>
            <w:hideMark/>
          </w:tcPr>
          <w:p w:rsidR="008D58BD" w:rsidRDefault="008D58BD" w:rsidP="008D58BD">
            <w:pPr>
              <w:jc w:val="right"/>
              <w:rPr>
                <w:rFonts w:ascii="Arial" w:hAnsi="Arial" w:cs="Arial"/>
                <w:b/>
                <w:bCs/>
                <w:sz w:val="20"/>
                <w:szCs w:val="20"/>
              </w:rPr>
            </w:pPr>
            <w:r>
              <w:rPr>
                <w:rFonts w:ascii="Arial" w:hAnsi="Arial" w:cs="Arial"/>
                <w:b/>
                <w:bCs/>
                <w:sz w:val="20"/>
                <w:szCs w:val="20"/>
              </w:rPr>
              <w:t>1 413 276</w:t>
            </w:r>
          </w:p>
        </w:tc>
        <w:tc>
          <w:tcPr>
            <w:tcW w:w="1255" w:type="dxa"/>
            <w:tcBorders>
              <w:top w:val="nil"/>
              <w:left w:val="nil"/>
              <w:bottom w:val="single" w:sz="4" w:space="0" w:color="auto"/>
              <w:right w:val="single" w:sz="4" w:space="0" w:color="auto"/>
            </w:tcBorders>
            <w:shd w:val="clear" w:color="000000" w:fill="C0C0C0"/>
            <w:vAlign w:val="bottom"/>
            <w:hideMark/>
          </w:tcPr>
          <w:p w:rsidR="008D58BD" w:rsidRDefault="008D58BD" w:rsidP="008D58BD">
            <w:pPr>
              <w:jc w:val="right"/>
              <w:rPr>
                <w:rFonts w:ascii="Arial" w:hAnsi="Arial" w:cs="Arial"/>
                <w:b/>
                <w:bCs/>
                <w:sz w:val="20"/>
                <w:szCs w:val="20"/>
              </w:rPr>
            </w:pPr>
            <w:r>
              <w:rPr>
                <w:rFonts w:ascii="Arial" w:hAnsi="Arial" w:cs="Arial"/>
                <w:b/>
                <w:bCs/>
                <w:sz w:val="20"/>
                <w:szCs w:val="20"/>
              </w:rPr>
              <w:t>512 266</w:t>
            </w:r>
          </w:p>
        </w:tc>
        <w:tc>
          <w:tcPr>
            <w:tcW w:w="1154" w:type="dxa"/>
            <w:tcBorders>
              <w:top w:val="nil"/>
              <w:left w:val="nil"/>
              <w:bottom w:val="single" w:sz="4" w:space="0" w:color="auto"/>
              <w:right w:val="single" w:sz="4" w:space="0" w:color="auto"/>
            </w:tcBorders>
            <w:shd w:val="clear" w:color="000000" w:fill="C0C0C0"/>
            <w:vAlign w:val="bottom"/>
            <w:hideMark/>
          </w:tcPr>
          <w:p w:rsidR="008D58BD" w:rsidRDefault="008D58BD" w:rsidP="008D58BD">
            <w:pPr>
              <w:jc w:val="right"/>
              <w:rPr>
                <w:rFonts w:ascii="Arial" w:hAnsi="Arial" w:cs="Arial"/>
                <w:b/>
                <w:bCs/>
                <w:sz w:val="20"/>
                <w:szCs w:val="20"/>
              </w:rPr>
            </w:pPr>
            <w:r>
              <w:rPr>
                <w:rFonts w:ascii="Arial" w:hAnsi="Arial" w:cs="Arial"/>
                <w:b/>
                <w:bCs/>
                <w:sz w:val="20"/>
                <w:szCs w:val="20"/>
              </w:rPr>
              <w:t>-387 178</w:t>
            </w:r>
          </w:p>
        </w:tc>
        <w:tc>
          <w:tcPr>
            <w:tcW w:w="1234" w:type="dxa"/>
            <w:tcBorders>
              <w:top w:val="nil"/>
              <w:left w:val="nil"/>
              <w:bottom w:val="single" w:sz="4" w:space="0" w:color="auto"/>
              <w:right w:val="single" w:sz="8" w:space="0" w:color="auto"/>
            </w:tcBorders>
            <w:shd w:val="clear" w:color="000000" w:fill="C0C0C0"/>
            <w:vAlign w:val="bottom"/>
            <w:hideMark/>
          </w:tcPr>
          <w:p w:rsidR="008D58BD" w:rsidRDefault="008D58BD" w:rsidP="008D58BD">
            <w:pPr>
              <w:jc w:val="right"/>
              <w:rPr>
                <w:rFonts w:ascii="Arial" w:hAnsi="Arial" w:cs="Arial"/>
                <w:b/>
                <w:bCs/>
                <w:sz w:val="20"/>
                <w:szCs w:val="20"/>
              </w:rPr>
            </w:pPr>
            <w:r>
              <w:rPr>
                <w:rFonts w:ascii="Arial" w:hAnsi="Arial" w:cs="Arial"/>
                <w:b/>
                <w:bCs/>
                <w:sz w:val="20"/>
                <w:szCs w:val="20"/>
              </w:rPr>
              <w:t>-429 388</w:t>
            </w:r>
          </w:p>
        </w:tc>
      </w:tr>
      <w:tr w:rsidR="008D58BD" w:rsidRPr="00770434" w:rsidTr="00FA1C99">
        <w:trPr>
          <w:trHeight w:val="119"/>
        </w:trPr>
        <w:tc>
          <w:tcPr>
            <w:tcW w:w="3940" w:type="dxa"/>
            <w:tcBorders>
              <w:top w:val="nil"/>
              <w:left w:val="single" w:sz="8" w:space="0" w:color="auto"/>
              <w:bottom w:val="single" w:sz="4" w:space="0" w:color="auto"/>
              <w:right w:val="single" w:sz="4" w:space="0" w:color="auto"/>
            </w:tcBorders>
            <w:shd w:val="clear" w:color="auto" w:fill="auto"/>
            <w:noWrap/>
            <w:vAlign w:val="bottom"/>
            <w:hideMark/>
          </w:tcPr>
          <w:p w:rsidR="008D58BD" w:rsidRPr="00770434" w:rsidRDefault="008D58BD" w:rsidP="008D58BD">
            <w:pPr>
              <w:widowControl/>
              <w:autoSpaceDE/>
              <w:autoSpaceDN/>
              <w:rPr>
                <w:rFonts w:ascii="Arial" w:hAnsi="Arial" w:cs="Arial"/>
                <w:sz w:val="16"/>
                <w:szCs w:val="16"/>
                <w:lang w:val="et-EE" w:eastAsia="et-EE"/>
              </w:rPr>
            </w:pPr>
            <w:r w:rsidRPr="00770434">
              <w:rPr>
                <w:rFonts w:ascii="Arial" w:hAnsi="Arial" w:cs="Arial"/>
                <w:sz w:val="16"/>
                <w:szCs w:val="16"/>
                <w:lang w:val="et-EE" w:eastAsia="et-EE"/>
              </w:rPr>
              <w:t xml:space="preserve">   Kohustuste võtmine (+)</w:t>
            </w:r>
          </w:p>
        </w:tc>
        <w:tc>
          <w:tcPr>
            <w:tcW w:w="1255" w:type="dxa"/>
            <w:tcBorders>
              <w:top w:val="nil"/>
              <w:left w:val="single" w:sz="4" w:space="0" w:color="auto"/>
              <w:bottom w:val="single" w:sz="4" w:space="0" w:color="auto"/>
              <w:right w:val="nil"/>
            </w:tcBorders>
            <w:shd w:val="clear" w:color="000000" w:fill="969696"/>
            <w:vAlign w:val="bottom"/>
            <w:hideMark/>
          </w:tcPr>
          <w:p w:rsidR="008D58BD" w:rsidRDefault="008D58BD" w:rsidP="008D58BD">
            <w:pPr>
              <w:jc w:val="right"/>
              <w:rPr>
                <w:rFonts w:ascii="Arial" w:hAnsi="Arial" w:cs="Arial"/>
                <w:sz w:val="20"/>
                <w:szCs w:val="20"/>
              </w:rPr>
            </w:pPr>
            <w:r>
              <w:rPr>
                <w:rFonts w:ascii="Arial" w:hAnsi="Arial" w:cs="Arial"/>
                <w:sz w:val="20"/>
                <w:szCs w:val="20"/>
              </w:rPr>
              <w:t>400 000</w:t>
            </w:r>
          </w:p>
        </w:tc>
        <w:tc>
          <w:tcPr>
            <w:tcW w:w="1358" w:type="dxa"/>
            <w:tcBorders>
              <w:top w:val="nil"/>
              <w:left w:val="single" w:sz="4" w:space="0" w:color="auto"/>
              <w:bottom w:val="single" w:sz="4" w:space="0" w:color="auto"/>
              <w:right w:val="single" w:sz="4" w:space="0" w:color="auto"/>
            </w:tcBorders>
            <w:shd w:val="clear" w:color="auto" w:fill="auto"/>
            <w:noWrap/>
            <w:vAlign w:val="bottom"/>
            <w:hideMark/>
          </w:tcPr>
          <w:p w:rsidR="008D58BD" w:rsidRDefault="008D58BD" w:rsidP="008D58BD">
            <w:pPr>
              <w:jc w:val="right"/>
              <w:rPr>
                <w:rFonts w:ascii="Arial" w:hAnsi="Arial" w:cs="Arial"/>
                <w:sz w:val="20"/>
                <w:szCs w:val="20"/>
              </w:rPr>
            </w:pPr>
            <w:r>
              <w:rPr>
                <w:rFonts w:ascii="Arial" w:hAnsi="Arial" w:cs="Arial"/>
                <w:sz w:val="20"/>
                <w:szCs w:val="20"/>
              </w:rPr>
              <w:t>2 100 000</w:t>
            </w:r>
          </w:p>
        </w:tc>
        <w:tc>
          <w:tcPr>
            <w:tcW w:w="1255" w:type="dxa"/>
            <w:tcBorders>
              <w:top w:val="nil"/>
              <w:left w:val="nil"/>
              <w:bottom w:val="single" w:sz="4" w:space="0" w:color="auto"/>
              <w:right w:val="single" w:sz="4" w:space="0" w:color="auto"/>
            </w:tcBorders>
            <w:shd w:val="clear" w:color="auto" w:fill="auto"/>
            <w:noWrap/>
            <w:vAlign w:val="bottom"/>
            <w:hideMark/>
          </w:tcPr>
          <w:p w:rsidR="008D58BD" w:rsidRDefault="008D58BD" w:rsidP="008D58BD">
            <w:pPr>
              <w:jc w:val="right"/>
              <w:rPr>
                <w:rFonts w:ascii="Arial" w:hAnsi="Arial" w:cs="Arial"/>
                <w:sz w:val="20"/>
                <w:szCs w:val="20"/>
              </w:rPr>
            </w:pPr>
            <w:r>
              <w:rPr>
                <w:rFonts w:ascii="Arial" w:hAnsi="Arial" w:cs="Arial"/>
                <w:sz w:val="20"/>
                <w:szCs w:val="20"/>
              </w:rPr>
              <w:t>1 350 000</w:t>
            </w:r>
          </w:p>
        </w:tc>
        <w:tc>
          <w:tcPr>
            <w:tcW w:w="1154" w:type="dxa"/>
            <w:tcBorders>
              <w:top w:val="nil"/>
              <w:left w:val="nil"/>
              <w:bottom w:val="single" w:sz="4" w:space="0" w:color="auto"/>
              <w:right w:val="single" w:sz="4" w:space="0" w:color="auto"/>
            </w:tcBorders>
            <w:shd w:val="clear" w:color="auto" w:fill="auto"/>
            <w:noWrap/>
            <w:vAlign w:val="bottom"/>
            <w:hideMark/>
          </w:tcPr>
          <w:p w:rsidR="008D58BD" w:rsidRDefault="008D58BD" w:rsidP="008D58BD">
            <w:pPr>
              <w:jc w:val="right"/>
              <w:rPr>
                <w:rFonts w:ascii="Arial" w:hAnsi="Arial" w:cs="Arial"/>
                <w:sz w:val="20"/>
                <w:szCs w:val="20"/>
              </w:rPr>
            </w:pPr>
            <w:r>
              <w:rPr>
                <w:rFonts w:ascii="Arial" w:hAnsi="Arial" w:cs="Arial"/>
                <w:sz w:val="20"/>
                <w:szCs w:val="20"/>
              </w:rPr>
              <w:t>400 000</w:t>
            </w:r>
          </w:p>
        </w:tc>
        <w:tc>
          <w:tcPr>
            <w:tcW w:w="1234" w:type="dxa"/>
            <w:tcBorders>
              <w:top w:val="nil"/>
              <w:left w:val="nil"/>
              <w:bottom w:val="single" w:sz="4" w:space="0" w:color="auto"/>
              <w:right w:val="single" w:sz="8" w:space="0" w:color="auto"/>
            </w:tcBorders>
            <w:shd w:val="clear" w:color="auto" w:fill="auto"/>
            <w:noWrap/>
            <w:vAlign w:val="bottom"/>
            <w:hideMark/>
          </w:tcPr>
          <w:p w:rsidR="008D58BD" w:rsidRDefault="008D58BD" w:rsidP="008D58BD">
            <w:pPr>
              <w:jc w:val="right"/>
              <w:rPr>
                <w:rFonts w:ascii="Arial" w:hAnsi="Arial" w:cs="Arial"/>
                <w:sz w:val="20"/>
                <w:szCs w:val="20"/>
              </w:rPr>
            </w:pPr>
            <w:r>
              <w:rPr>
                <w:rFonts w:ascii="Arial" w:hAnsi="Arial" w:cs="Arial"/>
                <w:sz w:val="20"/>
                <w:szCs w:val="20"/>
              </w:rPr>
              <w:t>370 000</w:t>
            </w:r>
          </w:p>
        </w:tc>
      </w:tr>
      <w:tr w:rsidR="008D58BD" w:rsidRPr="00770434" w:rsidTr="00FA1C99">
        <w:trPr>
          <w:trHeight w:val="119"/>
        </w:trPr>
        <w:tc>
          <w:tcPr>
            <w:tcW w:w="3940" w:type="dxa"/>
            <w:tcBorders>
              <w:top w:val="nil"/>
              <w:left w:val="single" w:sz="8" w:space="0" w:color="auto"/>
              <w:bottom w:val="single" w:sz="4" w:space="0" w:color="auto"/>
              <w:right w:val="single" w:sz="4" w:space="0" w:color="auto"/>
            </w:tcBorders>
            <w:shd w:val="clear" w:color="auto" w:fill="auto"/>
            <w:noWrap/>
            <w:vAlign w:val="bottom"/>
            <w:hideMark/>
          </w:tcPr>
          <w:p w:rsidR="008D58BD" w:rsidRPr="00770434" w:rsidRDefault="008D58BD" w:rsidP="008D58BD">
            <w:pPr>
              <w:widowControl/>
              <w:autoSpaceDE/>
              <w:autoSpaceDN/>
              <w:rPr>
                <w:rFonts w:ascii="Arial" w:hAnsi="Arial" w:cs="Arial"/>
                <w:sz w:val="16"/>
                <w:szCs w:val="16"/>
                <w:lang w:val="et-EE" w:eastAsia="et-EE"/>
              </w:rPr>
            </w:pPr>
            <w:r w:rsidRPr="00770434">
              <w:rPr>
                <w:rFonts w:ascii="Arial" w:hAnsi="Arial" w:cs="Arial"/>
                <w:sz w:val="16"/>
                <w:szCs w:val="16"/>
                <w:lang w:val="et-EE" w:eastAsia="et-EE"/>
              </w:rPr>
              <w:t xml:space="preserve">   Kohustuste tasumine (-)</w:t>
            </w:r>
          </w:p>
        </w:tc>
        <w:tc>
          <w:tcPr>
            <w:tcW w:w="1255" w:type="dxa"/>
            <w:tcBorders>
              <w:top w:val="nil"/>
              <w:left w:val="single" w:sz="4" w:space="0" w:color="auto"/>
              <w:bottom w:val="single" w:sz="4" w:space="0" w:color="auto"/>
              <w:right w:val="nil"/>
            </w:tcBorders>
            <w:shd w:val="clear" w:color="auto" w:fill="969696"/>
            <w:vAlign w:val="bottom"/>
            <w:hideMark/>
          </w:tcPr>
          <w:p w:rsidR="008D58BD" w:rsidRDefault="008D58BD" w:rsidP="008D58BD">
            <w:pPr>
              <w:jc w:val="right"/>
              <w:rPr>
                <w:rFonts w:ascii="Arial" w:hAnsi="Arial" w:cs="Arial"/>
                <w:sz w:val="20"/>
                <w:szCs w:val="20"/>
              </w:rPr>
            </w:pPr>
            <w:r>
              <w:rPr>
                <w:rFonts w:ascii="Arial" w:hAnsi="Arial" w:cs="Arial"/>
                <w:sz w:val="20"/>
                <w:szCs w:val="20"/>
              </w:rPr>
              <w:t>-455 090</w:t>
            </w:r>
          </w:p>
        </w:tc>
        <w:tc>
          <w:tcPr>
            <w:tcW w:w="1358" w:type="dxa"/>
            <w:tcBorders>
              <w:top w:val="nil"/>
              <w:left w:val="single" w:sz="4" w:space="0" w:color="auto"/>
              <w:bottom w:val="single" w:sz="4" w:space="0" w:color="auto"/>
              <w:right w:val="single" w:sz="4" w:space="0" w:color="auto"/>
            </w:tcBorders>
            <w:shd w:val="clear" w:color="auto" w:fill="auto"/>
            <w:noWrap/>
            <w:vAlign w:val="bottom"/>
            <w:hideMark/>
          </w:tcPr>
          <w:p w:rsidR="008D58BD" w:rsidRDefault="008D58BD" w:rsidP="008D58BD">
            <w:pPr>
              <w:jc w:val="right"/>
              <w:rPr>
                <w:rFonts w:ascii="Arial" w:hAnsi="Arial" w:cs="Arial"/>
                <w:sz w:val="20"/>
                <w:szCs w:val="20"/>
              </w:rPr>
            </w:pPr>
            <w:r>
              <w:rPr>
                <w:rFonts w:ascii="Arial" w:hAnsi="Arial" w:cs="Arial"/>
                <w:sz w:val="20"/>
                <w:szCs w:val="20"/>
              </w:rPr>
              <w:t>-686 724</w:t>
            </w:r>
          </w:p>
        </w:tc>
        <w:tc>
          <w:tcPr>
            <w:tcW w:w="1255" w:type="dxa"/>
            <w:tcBorders>
              <w:top w:val="nil"/>
              <w:left w:val="nil"/>
              <w:bottom w:val="single" w:sz="4" w:space="0" w:color="auto"/>
              <w:right w:val="single" w:sz="4" w:space="0" w:color="auto"/>
            </w:tcBorders>
            <w:shd w:val="clear" w:color="auto" w:fill="auto"/>
            <w:noWrap/>
            <w:vAlign w:val="bottom"/>
            <w:hideMark/>
          </w:tcPr>
          <w:p w:rsidR="008D58BD" w:rsidRDefault="008D58BD" w:rsidP="008D58BD">
            <w:pPr>
              <w:jc w:val="right"/>
              <w:rPr>
                <w:rFonts w:ascii="Arial" w:hAnsi="Arial" w:cs="Arial"/>
                <w:sz w:val="20"/>
                <w:szCs w:val="20"/>
              </w:rPr>
            </w:pPr>
            <w:r>
              <w:rPr>
                <w:rFonts w:ascii="Arial" w:hAnsi="Arial" w:cs="Arial"/>
                <w:sz w:val="20"/>
                <w:szCs w:val="20"/>
              </w:rPr>
              <w:t>-837 734</w:t>
            </w:r>
          </w:p>
        </w:tc>
        <w:tc>
          <w:tcPr>
            <w:tcW w:w="1154" w:type="dxa"/>
            <w:tcBorders>
              <w:top w:val="nil"/>
              <w:left w:val="nil"/>
              <w:bottom w:val="single" w:sz="4" w:space="0" w:color="auto"/>
              <w:right w:val="single" w:sz="4" w:space="0" w:color="auto"/>
            </w:tcBorders>
            <w:shd w:val="clear" w:color="auto" w:fill="auto"/>
            <w:noWrap/>
            <w:vAlign w:val="bottom"/>
            <w:hideMark/>
          </w:tcPr>
          <w:p w:rsidR="008D58BD" w:rsidRDefault="008D58BD" w:rsidP="008D58BD">
            <w:pPr>
              <w:jc w:val="right"/>
              <w:rPr>
                <w:rFonts w:ascii="Arial" w:hAnsi="Arial" w:cs="Arial"/>
                <w:sz w:val="20"/>
                <w:szCs w:val="20"/>
              </w:rPr>
            </w:pPr>
            <w:r>
              <w:rPr>
                <w:rFonts w:ascii="Arial" w:hAnsi="Arial" w:cs="Arial"/>
                <w:sz w:val="20"/>
                <w:szCs w:val="20"/>
              </w:rPr>
              <w:t>-787 178</w:t>
            </w:r>
          </w:p>
        </w:tc>
        <w:tc>
          <w:tcPr>
            <w:tcW w:w="1234" w:type="dxa"/>
            <w:tcBorders>
              <w:top w:val="nil"/>
              <w:left w:val="nil"/>
              <w:bottom w:val="single" w:sz="4" w:space="0" w:color="auto"/>
              <w:right w:val="single" w:sz="8" w:space="0" w:color="auto"/>
            </w:tcBorders>
            <w:shd w:val="clear" w:color="auto" w:fill="auto"/>
            <w:noWrap/>
            <w:vAlign w:val="bottom"/>
            <w:hideMark/>
          </w:tcPr>
          <w:p w:rsidR="008D58BD" w:rsidRDefault="008D58BD" w:rsidP="008D58BD">
            <w:pPr>
              <w:jc w:val="right"/>
              <w:rPr>
                <w:rFonts w:ascii="Arial" w:hAnsi="Arial" w:cs="Arial"/>
                <w:sz w:val="20"/>
                <w:szCs w:val="20"/>
              </w:rPr>
            </w:pPr>
            <w:r>
              <w:rPr>
                <w:rFonts w:ascii="Arial" w:hAnsi="Arial" w:cs="Arial"/>
                <w:sz w:val="20"/>
                <w:szCs w:val="20"/>
              </w:rPr>
              <w:t>-799 388</w:t>
            </w:r>
          </w:p>
        </w:tc>
      </w:tr>
      <w:tr w:rsidR="008D58BD" w:rsidRPr="00770434" w:rsidTr="00FA1C99">
        <w:trPr>
          <w:trHeight w:val="240"/>
        </w:trPr>
        <w:tc>
          <w:tcPr>
            <w:tcW w:w="3940" w:type="dxa"/>
            <w:tcBorders>
              <w:top w:val="nil"/>
              <w:left w:val="single" w:sz="8" w:space="0" w:color="auto"/>
              <w:bottom w:val="single" w:sz="4" w:space="0" w:color="auto"/>
              <w:right w:val="single" w:sz="4" w:space="0" w:color="auto"/>
            </w:tcBorders>
            <w:shd w:val="clear" w:color="auto" w:fill="auto"/>
            <w:vAlign w:val="bottom"/>
            <w:hideMark/>
          </w:tcPr>
          <w:p w:rsidR="008D58BD" w:rsidRPr="00770434" w:rsidRDefault="008D58BD" w:rsidP="008D58BD">
            <w:pPr>
              <w:widowControl/>
              <w:autoSpaceDE/>
              <w:autoSpaceDN/>
              <w:rPr>
                <w:rFonts w:ascii="Arial" w:hAnsi="Arial" w:cs="Arial"/>
                <w:b/>
                <w:bCs/>
                <w:sz w:val="20"/>
                <w:szCs w:val="20"/>
                <w:lang w:val="et-EE" w:eastAsia="et-EE"/>
              </w:rPr>
            </w:pPr>
            <w:r w:rsidRPr="00770434">
              <w:rPr>
                <w:rFonts w:ascii="Arial" w:hAnsi="Arial" w:cs="Arial"/>
                <w:b/>
                <w:bCs/>
                <w:sz w:val="20"/>
                <w:szCs w:val="20"/>
                <w:lang w:val="et-EE" w:eastAsia="et-EE"/>
              </w:rPr>
              <w:t>Likviidsete varade muutus (+ suurenemine, - vähenemine)</w:t>
            </w:r>
          </w:p>
        </w:tc>
        <w:tc>
          <w:tcPr>
            <w:tcW w:w="1255" w:type="dxa"/>
            <w:tcBorders>
              <w:top w:val="nil"/>
              <w:left w:val="single" w:sz="4" w:space="0" w:color="auto"/>
              <w:bottom w:val="single" w:sz="4" w:space="0" w:color="auto"/>
              <w:right w:val="nil"/>
            </w:tcBorders>
            <w:shd w:val="clear" w:color="auto" w:fill="969696"/>
            <w:vAlign w:val="bottom"/>
            <w:hideMark/>
          </w:tcPr>
          <w:p w:rsidR="008D58BD" w:rsidRDefault="008D58BD" w:rsidP="008D58BD">
            <w:pPr>
              <w:jc w:val="right"/>
              <w:rPr>
                <w:rFonts w:ascii="Arial" w:hAnsi="Arial" w:cs="Arial"/>
                <w:sz w:val="20"/>
                <w:szCs w:val="20"/>
              </w:rPr>
            </w:pPr>
            <w:r>
              <w:rPr>
                <w:rFonts w:ascii="Arial" w:hAnsi="Arial" w:cs="Arial"/>
                <w:sz w:val="20"/>
                <w:szCs w:val="20"/>
              </w:rPr>
              <w:t>-889 937</w:t>
            </w:r>
          </w:p>
        </w:tc>
        <w:tc>
          <w:tcPr>
            <w:tcW w:w="1358" w:type="dxa"/>
            <w:tcBorders>
              <w:top w:val="nil"/>
              <w:left w:val="single" w:sz="4" w:space="0" w:color="auto"/>
              <w:bottom w:val="single" w:sz="4" w:space="0" w:color="auto"/>
              <w:right w:val="single" w:sz="4" w:space="0" w:color="auto"/>
            </w:tcBorders>
            <w:shd w:val="clear" w:color="auto" w:fill="auto"/>
            <w:noWrap/>
            <w:vAlign w:val="bottom"/>
            <w:hideMark/>
          </w:tcPr>
          <w:p w:rsidR="008D58BD" w:rsidRDefault="008D58BD" w:rsidP="008D58BD">
            <w:pPr>
              <w:jc w:val="right"/>
              <w:rPr>
                <w:rFonts w:ascii="Arial" w:hAnsi="Arial" w:cs="Arial"/>
                <w:sz w:val="20"/>
                <w:szCs w:val="20"/>
              </w:rPr>
            </w:pPr>
            <w:r>
              <w:rPr>
                <w:rFonts w:ascii="Arial" w:hAnsi="Arial" w:cs="Arial"/>
                <w:sz w:val="20"/>
                <w:szCs w:val="20"/>
              </w:rPr>
              <w:t>-199 581</w:t>
            </w:r>
          </w:p>
        </w:tc>
        <w:tc>
          <w:tcPr>
            <w:tcW w:w="1255" w:type="dxa"/>
            <w:tcBorders>
              <w:top w:val="nil"/>
              <w:left w:val="nil"/>
              <w:bottom w:val="single" w:sz="4" w:space="0" w:color="auto"/>
              <w:right w:val="single" w:sz="4" w:space="0" w:color="auto"/>
            </w:tcBorders>
            <w:shd w:val="clear" w:color="auto" w:fill="auto"/>
            <w:noWrap/>
            <w:vAlign w:val="bottom"/>
            <w:hideMark/>
          </w:tcPr>
          <w:p w:rsidR="008D58BD" w:rsidRDefault="008D58BD" w:rsidP="008D58BD">
            <w:pPr>
              <w:jc w:val="right"/>
              <w:rPr>
                <w:rFonts w:ascii="Arial" w:hAnsi="Arial" w:cs="Arial"/>
                <w:sz w:val="20"/>
                <w:szCs w:val="20"/>
              </w:rPr>
            </w:pPr>
            <w:r>
              <w:rPr>
                <w:rFonts w:ascii="Arial" w:hAnsi="Arial" w:cs="Arial"/>
                <w:sz w:val="20"/>
                <w:szCs w:val="20"/>
              </w:rPr>
              <w:t>-182 551</w:t>
            </w:r>
          </w:p>
        </w:tc>
        <w:tc>
          <w:tcPr>
            <w:tcW w:w="1154" w:type="dxa"/>
            <w:tcBorders>
              <w:top w:val="nil"/>
              <w:left w:val="nil"/>
              <w:bottom w:val="single" w:sz="4" w:space="0" w:color="auto"/>
              <w:right w:val="single" w:sz="4" w:space="0" w:color="auto"/>
            </w:tcBorders>
            <w:shd w:val="clear" w:color="auto" w:fill="auto"/>
            <w:noWrap/>
            <w:vAlign w:val="bottom"/>
            <w:hideMark/>
          </w:tcPr>
          <w:p w:rsidR="008D58BD" w:rsidRDefault="008D58BD" w:rsidP="008D58BD">
            <w:pPr>
              <w:jc w:val="right"/>
              <w:rPr>
                <w:rFonts w:ascii="Arial" w:hAnsi="Arial" w:cs="Arial"/>
                <w:sz w:val="20"/>
                <w:szCs w:val="20"/>
              </w:rPr>
            </w:pPr>
            <w:r>
              <w:rPr>
                <w:rFonts w:ascii="Arial" w:hAnsi="Arial" w:cs="Arial"/>
                <w:sz w:val="20"/>
                <w:szCs w:val="20"/>
              </w:rPr>
              <w:t>17 656</w:t>
            </w:r>
          </w:p>
        </w:tc>
        <w:tc>
          <w:tcPr>
            <w:tcW w:w="1234" w:type="dxa"/>
            <w:tcBorders>
              <w:top w:val="nil"/>
              <w:left w:val="nil"/>
              <w:bottom w:val="single" w:sz="4" w:space="0" w:color="auto"/>
              <w:right w:val="single" w:sz="8" w:space="0" w:color="auto"/>
            </w:tcBorders>
            <w:shd w:val="clear" w:color="auto" w:fill="auto"/>
            <w:noWrap/>
            <w:vAlign w:val="bottom"/>
            <w:hideMark/>
          </w:tcPr>
          <w:p w:rsidR="008D58BD" w:rsidRDefault="008D58BD" w:rsidP="008D58BD">
            <w:pPr>
              <w:jc w:val="right"/>
              <w:rPr>
                <w:rFonts w:ascii="Arial" w:hAnsi="Arial" w:cs="Arial"/>
                <w:sz w:val="20"/>
                <w:szCs w:val="20"/>
              </w:rPr>
            </w:pPr>
            <w:r>
              <w:rPr>
                <w:rFonts w:ascii="Arial" w:hAnsi="Arial" w:cs="Arial"/>
                <w:sz w:val="20"/>
                <w:szCs w:val="20"/>
              </w:rPr>
              <w:t>27 456</w:t>
            </w:r>
          </w:p>
        </w:tc>
      </w:tr>
      <w:tr w:rsidR="005F3474" w:rsidRPr="00770434" w:rsidTr="008D58BD">
        <w:trPr>
          <w:trHeight w:val="127"/>
        </w:trPr>
        <w:tc>
          <w:tcPr>
            <w:tcW w:w="3940" w:type="dxa"/>
            <w:tcBorders>
              <w:top w:val="single" w:sz="4" w:space="0" w:color="auto"/>
              <w:left w:val="single" w:sz="8" w:space="0" w:color="auto"/>
              <w:bottom w:val="single" w:sz="4" w:space="0" w:color="auto"/>
              <w:right w:val="single" w:sz="4" w:space="0" w:color="auto"/>
            </w:tcBorders>
            <w:shd w:val="clear" w:color="auto" w:fill="C0C0C0"/>
            <w:noWrap/>
            <w:vAlign w:val="bottom"/>
            <w:hideMark/>
          </w:tcPr>
          <w:p w:rsidR="005F3474" w:rsidRPr="00770434" w:rsidRDefault="005F3474" w:rsidP="005F3474">
            <w:pPr>
              <w:widowControl/>
              <w:autoSpaceDE/>
              <w:autoSpaceDN/>
              <w:rPr>
                <w:rFonts w:ascii="Arial" w:hAnsi="Arial" w:cs="Arial"/>
                <w:b/>
                <w:bCs/>
                <w:sz w:val="20"/>
                <w:szCs w:val="20"/>
                <w:lang w:val="et-EE" w:eastAsia="et-EE"/>
              </w:rPr>
            </w:pPr>
            <w:r w:rsidRPr="00770434">
              <w:rPr>
                <w:rFonts w:ascii="Arial" w:hAnsi="Arial" w:cs="Arial"/>
                <w:b/>
                <w:bCs/>
                <w:sz w:val="20"/>
                <w:szCs w:val="20"/>
                <w:lang w:val="et-EE" w:eastAsia="et-EE"/>
              </w:rPr>
              <w:t>Likviidsete varade suunamata jääk aasta lõpuks</w:t>
            </w:r>
          </w:p>
        </w:tc>
        <w:tc>
          <w:tcPr>
            <w:tcW w:w="1255" w:type="dxa"/>
            <w:tcBorders>
              <w:top w:val="nil"/>
              <w:left w:val="single" w:sz="4" w:space="0" w:color="auto"/>
              <w:bottom w:val="single" w:sz="4" w:space="0" w:color="auto"/>
              <w:right w:val="single" w:sz="4" w:space="0" w:color="auto"/>
            </w:tcBorders>
            <w:shd w:val="clear" w:color="auto" w:fill="C0C0C0"/>
            <w:noWrap/>
            <w:vAlign w:val="bottom"/>
            <w:hideMark/>
          </w:tcPr>
          <w:p w:rsidR="005F3474" w:rsidRDefault="005F3474" w:rsidP="005F3474">
            <w:pPr>
              <w:jc w:val="right"/>
              <w:rPr>
                <w:rFonts w:ascii="Arial" w:hAnsi="Arial" w:cs="Arial"/>
                <w:b/>
                <w:bCs/>
                <w:sz w:val="20"/>
                <w:szCs w:val="20"/>
                <w:lang w:val="et-EE" w:eastAsia="et-EE"/>
              </w:rPr>
            </w:pPr>
            <w:r>
              <w:rPr>
                <w:rFonts w:ascii="Arial" w:hAnsi="Arial" w:cs="Arial"/>
                <w:b/>
                <w:bCs/>
                <w:sz w:val="20"/>
                <w:szCs w:val="20"/>
              </w:rPr>
              <w:t>459 471</w:t>
            </w:r>
          </w:p>
        </w:tc>
        <w:tc>
          <w:tcPr>
            <w:tcW w:w="1358" w:type="dxa"/>
            <w:tcBorders>
              <w:top w:val="nil"/>
              <w:left w:val="nil"/>
              <w:bottom w:val="single" w:sz="4" w:space="0" w:color="auto"/>
              <w:right w:val="single" w:sz="4" w:space="0" w:color="auto"/>
            </w:tcBorders>
            <w:shd w:val="clear" w:color="auto" w:fill="C0C0C0"/>
            <w:noWrap/>
            <w:vAlign w:val="bottom"/>
            <w:hideMark/>
          </w:tcPr>
          <w:p w:rsidR="005F3474" w:rsidRDefault="005F3474" w:rsidP="005F3474">
            <w:pPr>
              <w:jc w:val="right"/>
              <w:rPr>
                <w:rFonts w:ascii="Arial" w:hAnsi="Arial" w:cs="Arial"/>
                <w:b/>
                <w:bCs/>
                <w:sz w:val="20"/>
                <w:szCs w:val="20"/>
              </w:rPr>
            </w:pPr>
            <w:r>
              <w:rPr>
                <w:rFonts w:ascii="Arial" w:hAnsi="Arial" w:cs="Arial"/>
                <w:b/>
                <w:bCs/>
                <w:sz w:val="20"/>
                <w:szCs w:val="20"/>
              </w:rPr>
              <w:t>259 890</w:t>
            </w:r>
          </w:p>
        </w:tc>
        <w:tc>
          <w:tcPr>
            <w:tcW w:w="1255" w:type="dxa"/>
            <w:tcBorders>
              <w:top w:val="nil"/>
              <w:left w:val="nil"/>
              <w:bottom w:val="single" w:sz="4" w:space="0" w:color="auto"/>
              <w:right w:val="single" w:sz="4" w:space="0" w:color="auto"/>
            </w:tcBorders>
            <w:shd w:val="clear" w:color="auto" w:fill="C0C0C0"/>
            <w:noWrap/>
            <w:vAlign w:val="bottom"/>
            <w:hideMark/>
          </w:tcPr>
          <w:p w:rsidR="005F3474" w:rsidRDefault="005F3474" w:rsidP="005F3474">
            <w:pPr>
              <w:jc w:val="right"/>
              <w:rPr>
                <w:rFonts w:ascii="Arial" w:hAnsi="Arial" w:cs="Arial"/>
                <w:b/>
                <w:bCs/>
                <w:sz w:val="20"/>
                <w:szCs w:val="20"/>
              </w:rPr>
            </w:pPr>
            <w:r>
              <w:rPr>
                <w:rFonts w:ascii="Arial" w:hAnsi="Arial" w:cs="Arial"/>
                <w:b/>
                <w:bCs/>
                <w:sz w:val="20"/>
                <w:szCs w:val="20"/>
              </w:rPr>
              <w:t>77 339</w:t>
            </w:r>
          </w:p>
        </w:tc>
        <w:tc>
          <w:tcPr>
            <w:tcW w:w="1154" w:type="dxa"/>
            <w:tcBorders>
              <w:top w:val="nil"/>
              <w:left w:val="nil"/>
              <w:bottom w:val="single" w:sz="4" w:space="0" w:color="auto"/>
              <w:right w:val="single" w:sz="4" w:space="0" w:color="auto"/>
            </w:tcBorders>
            <w:shd w:val="clear" w:color="auto" w:fill="C0C0C0"/>
            <w:noWrap/>
            <w:vAlign w:val="bottom"/>
            <w:hideMark/>
          </w:tcPr>
          <w:p w:rsidR="005F3474" w:rsidRDefault="005F3474" w:rsidP="005F3474">
            <w:pPr>
              <w:jc w:val="right"/>
              <w:rPr>
                <w:rFonts w:ascii="Arial" w:hAnsi="Arial" w:cs="Arial"/>
                <w:b/>
                <w:bCs/>
                <w:sz w:val="20"/>
                <w:szCs w:val="20"/>
              </w:rPr>
            </w:pPr>
            <w:r>
              <w:rPr>
                <w:rFonts w:ascii="Arial" w:hAnsi="Arial" w:cs="Arial"/>
                <w:b/>
                <w:bCs/>
                <w:sz w:val="20"/>
                <w:szCs w:val="20"/>
              </w:rPr>
              <w:t>94 995</w:t>
            </w:r>
          </w:p>
        </w:tc>
        <w:tc>
          <w:tcPr>
            <w:tcW w:w="1234" w:type="dxa"/>
            <w:tcBorders>
              <w:top w:val="nil"/>
              <w:left w:val="nil"/>
              <w:bottom w:val="single" w:sz="4" w:space="0" w:color="auto"/>
              <w:right w:val="single" w:sz="8" w:space="0" w:color="auto"/>
            </w:tcBorders>
            <w:shd w:val="clear" w:color="auto" w:fill="C0C0C0"/>
            <w:noWrap/>
            <w:vAlign w:val="bottom"/>
            <w:hideMark/>
          </w:tcPr>
          <w:p w:rsidR="005F3474" w:rsidRDefault="005F3474" w:rsidP="005F3474">
            <w:pPr>
              <w:jc w:val="right"/>
              <w:rPr>
                <w:rFonts w:ascii="Arial" w:hAnsi="Arial" w:cs="Arial"/>
                <w:b/>
                <w:bCs/>
                <w:sz w:val="20"/>
                <w:szCs w:val="20"/>
              </w:rPr>
            </w:pPr>
            <w:r>
              <w:rPr>
                <w:rFonts w:ascii="Arial" w:hAnsi="Arial" w:cs="Arial"/>
                <w:b/>
                <w:bCs/>
                <w:sz w:val="20"/>
                <w:szCs w:val="20"/>
              </w:rPr>
              <w:t>122 451</w:t>
            </w:r>
          </w:p>
        </w:tc>
      </w:tr>
      <w:tr w:rsidR="005F3474" w:rsidRPr="00770434" w:rsidTr="008D58BD">
        <w:trPr>
          <w:trHeight w:val="119"/>
        </w:trPr>
        <w:tc>
          <w:tcPr>
            <w:tcW w:w="3940" w:type="dxa"/>
            <w:tcBorders>
              <w:top w:val="nil"/>
              <w:left w:val="single" w:sz="8" w:space="0" w:color="auto"/>
              <w:bottom w:val="single" w:sz="4" w:space="0" w:color="auto"/>
              <w:right w:val="single" w:sz="4" w:space="0" w:color="auto"/>
            </w:tcBorders>
            <w:shd w:val="clear" w:color="auto" w:fill="C0C0C0"/>
            <w:vAlign w:val="bottom"/>
            <w:hideMark/>
          </w:tcPr>
          <w:p w:rsidR="005F3474" w:rsidRPr="00770434" w:rsidRDefault="005F3474" w:rsidP="005F3474">
            <w:pPr>
              <w:widowControl/>
              <w:autoSpaceDE/>
              <w:autoSpaceDN/>
              <w:rPr>
                <w:rFonts w:ascii="Arial" w:hAnsi="Arial" w:cs="Arial"/>
                <w:b/>
                <w:bCs/>
                <w:sz w:val="20"/>
                <w:szCs w:val="20"/>
                <w:lang w:val="et-EE" w:eastAsia="et-EE"/>
              </w:rPr>
            </w:pPr>
            <w:r w:rsidRPr="00770434">
              <w:rPr>
                <w:rFonts w:ascii="Arial" w:hAnsi="Arial" w:cs="Arial"/>
                <w:b/>
                <w:bCs/>
                <w:sz w:val="20"/>
                <w:szCs w:val="20"/>
                <w:lang w:val="et-EE" w:eastAsia="et-EE"/>
              </w:rPr>
              <w:t>Võlakohustused kokku aasta lõpu seisuga</w:t>
            </w:r>
          </w:p>
        </w:tc>
        <w:tc>
          <w:tcPr>
            <w:tcW w:w="1255" w:type="dxa"/>
            <w:tcBorders>
              <w:top w:val="nil"/>
              <w:left w:val="single" w:sz="4" w:space="0" w:color="auto"/>
              <w:bottom w:val="single" w:sz="4" w:space="0" w:color="auto"/>
              <w:right w:val="single" w:sz="4" w:space="0" w:color="auto"/>
            </w:tcBorders>
            <w:shd w:val="clear" w:color="auto" w:fill="C0C0C0"/>
            <w:noWrap/>
            <w:vAlign w:val="bottom"/>
            <w:hideMark/>
          </w:tcPr>
          <w:p w:rsidR="005F3474" w:rsidRDefault="005F3474" w:rsidP="005F3474">
            <w:pPr>
              <w:jc w:val="right"/>
              <w:rPr>
                <w:rFonts w:ascii="Arial" w:hAnsi="Arial" w:cs="Arial"/>
                <w:sz w:val="20"/>
                <w:szCs w:val="20"/>
              </w:rPr>
            </w:pPr>
            <w:r>
              <w:rPr>
                <w:rFonts w:ascii="Arial" w:hAnsi="Arial" w:cs="Arial"/>
                <w:sz w:val="20"/>
                <w:szCs w:val="20"/>
              </w:rPr>
              <w:t>3 349 311</w:t>
            </w:r>
          </w:p>
        </w:tc>
        <w:tc>
          <w:tcPr>
            <w:tcW w:w="1358" w:type="dxa"/>
            <w:tcBorders>
              <w:top w:val="nil"/>
              <w:left w:val="nil"/>
              <w:bottom w:val="single" w:sz="4" w:space="0" w:color="auto"/>
              <w:right w:val="single" w:sz="4" w:space="0" w:color="auto"/>
            </w:tcBorders>
            <w:shd w:val="clear" w:color="auto" w:fill="C0C0C0"/>
            <w:noWrap/>
            <w:vAlign w:val="bottom"/>
            <w:hideMark/>
          </w:tcPr>
          <w:p w:rsidR="005F3474" w:rsidRDefault="005F3474" w:rsidP="005F3474">
            <w:pPr>
              <w:jc w:val="right"/>
              <w:rPr>
                <w:rFonts w:ascii="Arial" w:hAnsi="Arial" w:cs="Arial"/>
                <w:sz w:val="20"/>
                <w:szCs w:val="20"/>
              </w:rPr>
            </w:pPr>
            <w:r>
              <w:rPr>
                <w:rFonts w:ascii="Arial" w:hAnsi="Arial" w:cs="Arial"/>
                <w:sz w:val="20"/>
                <w:szCs w:val="20"/>
              </w:rPr>
              <w:t>4 762 587</w:t>
            </w:r>
          </w:p>
        </w:tc>
        <w:tc>
          <w:tcPr>
            <w:tcW w:w="1255" w:type="dxa"/>
            <w:tcBorders>
              <w:top w:val="nil"/>
              <w:left w:val="nil"/>
              <w:bottom w:val="single" w:sz="4" w:space="0" w:color="auto"/>
              <w:right w:val="single" w:sz="4" w:space="0" w:color="auto"/>
            </w:tcBorders>
            <w:shd w:val="clear" w:color="auto" w:fill="C0C0C0"/>
            <w:noWrap/>
            <w:vAlign w:val="bottom"/>
            <w:hideMark/>
          </w:tcPr>
          <w:p w:rsidR="005F3474" w:rsidRDefault="005F3474" w:rsidP="005F3474">
            <w:pPr>
              <w:jc w:val="right"/>
              <w:rPr>
                <w:rFonts w:ascii="Arial" w:hAnsi="Arial" w:cs="Arial"/>
                <w:sz w:val="20"/>
                <w:szCs w:val="20"/>
              </w:rPr>
            </w:pPr>
            <w:r>
              <w:rPr>
                <w:rFonts w:ascii="Arial" w:hAnsi="Arial" w:cs="Arial"/>
                <w:sz w:val="20"/>
                <w:szCs w:val="20"/>
              </w:rPr>
              <w:t>5 274 853</w:t>
            </w:r>
          </w:p>
        </w:tc>
        <w:tc>
          <w:tcPr>
            <w:tcW w:w="1154" w:type="dxa"/>
            <w:tcBorders>
              <w:top w:val="nil"/>
              <w:left w:val="nil"/>
              <w:bottom w:val="single" w:sz="4" w:space="0" w:color="auto"/>
              <w:right w:val="single" w:sz="4" w:space="0" w:color="auto"/>
            </w:tcBorders>
            <w:shd w:val="clear" w:color="auto" w:fill="C0C0C0"/>
            <w:noWrap/>
            <w:vAlign w:val="bottom"/>
            <w:hideMark/>
          </w:tcPr>
          <w:p w:rsidR="005F3474" w:rsidRDefault="005F3474" w:rsidP="005F3474">
            <w:pPr>
              <w:jc w:val="right"/>
              <w:rPr>
                <w:rFonts w:ascii="Arial" w:hAnsi="Arial" w:cs="Arial"/>
                <w:sz w:val="20"/>
                <w:szCs w:val="20"/>
              </w:rPr>
            </w:pPr>
            <w:r>
              <w:rPr>
                <w:rFonts w:ascii="Arial" w:hAnsi="Arial" w:cs="Arial"/>
                <w:sz w:val="20"/>
                <w:szCs w:val="20"/>
              </w:rPr>
              <w:t>4 887 675</w:t>
            </w:r>
          </w:p>
        </w:tc>
        <w:tc>
          <w:tcPr>
            <w:tcW w:w="1234" w:type="dxa"/>
            <w:tcBorders>
              <w:top w:val="nil"/>
              <w:left w:val="nil"/>
              <w:bottom w:val="single" w:sz="4" w:space="0" w:color="auto"/>
              <w:right w:val="single" w:sz="8" w:space="0" w:color="auto"/>
            </w:tcBorders>
            <w:shd w:val="clear" w:color="auto" w:fill="C0C0C0"/>
            <w:noWrap/>
            <w:vAlign w:val="bottom"/>
            <w:hideMark/>
          </w:tcPr>
          <w:p w:rsidR="005F3474" w:rsidRDefault="005F3474" w:rsidP="005F3474">
            <w:pPr>
              <w:jc w:val="right"/>
              <w:rPr>
                <w:rFonts w:ascii="Arial" w:hAnsi="Arial" w:cs="Arial"/>
                <w:sz w:val="20"/>
                <w:szCs w:val="20"/>
              </w:rPr>
            </w:pPr>
            <w:r>
              <w:rPr>
                <w:rFonts w:ascii="Arial" w:hAnsi="Arial" w:cs="Arial"/>
                <w:sz w:val="20"/>
                <w:szCs w:val="20"/>
              </w:rPr>
              <w:t>4 458 287</w:t>
            </w:r>
          </w:p>
        </w:tc>
      </w:tr>
    </w:tbl>
    <w:p w:rsidR="005061AD" w:rsidRDefault="005061AD" w:rsidP="00326510">
      <w:pPr>
        <w:jc w:val="both"/>
        <w:rPr>
          <w:sz w:val="24"/>
          <w:szCs w:val="24"/>
        </w:rPr>
      </w:pPr>
    </w:p>
    <w:p w:rsidR="006636D2" w:rsidRDefault="00161525" w:rsidP="00326510">
      <w:pPr>
        <w:jc w:val="both"/>
        <w:rPr>
          <w:sz w:val="24"/>
          <w:szCs w:val="24"/>
        </w:rPr>
      </w:pPr>
      <w:r>
        <w:rPr>
          <w:sz w:val="24"/>
          <w:szCs w:val="24"/>
        </w:rPr>
        <w:t xml:space="preserve">Vinni vallal </w:t>
      </w:r>
      <w:r w:rsidRPr="00161525">
        <w:rPr>
          <w:sz w:val="24"/>
          <w:szCs w:val="24"/>
        </w:rPr>
        <w:t xml:space="preserve">on eelnevatel aastatel võtnud laenukohustused ning ka eelarvestrateegia perioodil võetavad laenud vaid investeerimistegevuseks ja/või laenukohustuste refinantseerimiseks. Investeerimislaenu võtmine on vajalik arengukavas sätestatud eesmärkide ning kohalikule omavalitsusele pandud kohustuste täitmiseks. Eelarvestrateegia perioodil planeeritavad laenukohustuste võtmised on arvestatud lähtudes kohaliku omavalitsuse üksuse finantsjuhtimise seaduses sätestatud piirmääradest. </w:t>
      </w:r>
    </w:p>
    <w:p w:rsidR="006636D2" w:rsidRDefault="006636D2" w:rsidP="00326510">
      <w:pPr>
        <w:jc w:val="both"/>
        <w:rPr>
          <w:sz w:val="24"/>
          <w:szCs w:val="24"/>
        </w:rPr>
      </w:pPr>
    </w:p>
    <w:p w:rsidR="00DF07C7" w:rsidRDefault="00161525" w:rsidP="00326510">
      <w:pPr>
        <w:jc w:val="both"/>
        <w:rPr>
          <w:sz w:val="24"/>
          <w:szCs w:val="24"/>
        </w:rPr>
      </w:pPr>
      <w:r w:rsidRPr="00161525">
        <w:rPr>
          <w:sz w:val="24"/>
          <w:szCs w:val="24"/>
        </w:rPr>
        <w:t xml:space="preserve">Eelarvestrateegias on arvestatud laenukohustuse võtmisel, et </w:t>
      </w:r>
      <w:r>
        <w:rPr>
          <w:sz w:val="24"/>
          <w:szCs w:val="24"/>
        </w:rPr>
        <w:t>valla</w:t>
      </w:r>
      <w:r w:rsidRPr="00161525">
        <w:rPr>
          <w:sz w:val="24"/>
          <w:szCs w:val="24"/>
        </w:rPr>
        <w:t xml:space="preserve"> netovõlakoormus on väiksem kui</w:t>
      </w:r>
      <w:r w:rsidR="00FD16A4">
        <w:rPr>
          <w:sz w:val="24"/>
          <w:szCs w:val="24"/>
        </w:rPr>
        <w:t xml:space="preserve"> seaduses kehtestatud ülemmäär, mis on kuni 50% aastas ning kohustusi ei ole lubatud võtta põhitegevus kulude katteks. </w:t>
      </w:r>
    </w:p>
    <w:p w:rsidR="00DF07C7" w:rsidRDefault="00DF07C7" w:rsidP="00326510">
      <w:pPr>
        <w:jc w:val="both"/>
        <w:rPr>
          <w:sz w:val="24"/>
          <w:szCs w:val="24"/>
        </w:rPr>
      </w:pPr>
    </w:p>
    <w:p w:rsidR="00534B25" w:rsidRDefault="00534B25" w:rsidP="00326510">
      <w:pPr>
        <w:jc w:val="both"/>
        <w:rPr>
          <w:sz w:val="24"/>
          <w:szCs w:val="24"/>
        </w:rPr>
      </w:pPr>
    </w:p>
    <w:p w:rsidR="00C2728F" w:rsidRDefault="00DF07C7" w:rsidP="00326510">
      <w:pPr>
        <w:jc w:val="both"/>
        <w:rPr>
          <w:sz w:val="24"/>
          <w:szCs w:val="24"/>
        </w:rPr>
      </w:pPr>
      <w:r>
        <w:rPr>
          <w:sz w:val="24"/>
          <w:szCs w:val="24"/>
        </w:rPr>
        <w:t>Ü</w:t>
      </w:r>
      <w:r w:rsidR="00161525" w:rsidRPr="00161525">
        <w:rPr>
          <w:sz w:val="24"/>
          <w:szCs w:val="24"/>
        </w:rPr>
        <w:t xml:space="preserve">levaade </w:t>
      </w:r>
      <w:r w:rsidR="0033152A">
        <w:rPr>
          <w:sz w:val="24"/>
          <w:szCs w:val="24"/>
        </w:rPr>
        <w:t>valla</w:t>
      </w:r>
      <w:r w:rsidR="00161525" w:rsidRPr="00161525">
        <w:rPr>
          <w:sz w:val="24"/>
          <w:szCs w:val="24"/>
        </w:rPr>
        <w:t xml:space="preserve"> olemasolevatest laenudest, nende tagasimaksetest vastavalt tagasimaksegra</w:t>
      </w:r>
      <w:r>
        <w:rPr>
          <w:sz w:val="24"/>
          <w:szCs w:val="24"/>
        </w:rPr>
        <w:t>afikule:</w:t>
      </w:r>
    </w:p>
    <w:p w:rsidR="00E26831" w:rsidRDefault="00E26831" w:rsidP="00326510">
      <w:pPr>
        <w:jc w:val="both"/>
        <w:rPr>
          <w:sz w:val="24"/>
          <w:szCs w:val="24"/>
        </w:rPr>
      </w:pPr>
    </w:p>
    <w:tbl>
      <w:tblPr>
        <w:tblW w:w="10201" w:type="dxa"/>
        <w:tblCellMar>
          <w:left w:w="70" w:type="dxa"/>
          <w:right w:w="70" w:type="dxa"/>
        </w:tblCellMar>
        <w:tblLook w:val="04A0" w:firstRow="1" w:lastRow="0" w:firstColumn="1" w:lastColumn="0" w:noHBand="0" w:noVBand="1"/>
      </w:tblPr>
      <w:tblGrid>
        <w:gridCol w:w="3056"/>
        <w:gridCol w:w="1545"/>
        <w:gridCol w:w="1406"/>
        <w:gridCol w:w="1390"/>
        <w:gridCol w:w="1391"/>
        <w:gridCol w:w="1413"/>
      </w:tblGrid>
      <w:tr w:rsidR="000658F7" w:rsidRPr="000658F7" w:rsidTr="00FA1C99">
        <w:trPr>
          <w:trHeight w:val="119"/>
        </w:trPr>
        <w:tc>
          <w:tcPr>
            <w:tcW w:w="3056" w:type="dxa"/>
            <w:tcBorders>
              <w:top w:val="single" w:sz="4" w:space="0" w:color="auto"/>
              <w:left w:val="single" w:sz="4" w:space="0" w:color="auto"/>
              <w:bottom w:val="single" w:sz="4" w:space="0" w:color="auto"/>
              <w:right w:val="single" w:sz="4" w:space="0" w:color="auto"/>
            </w:tcBorders>
            <w:shd w:val="clear" w:color="DDEBF7" w:fill="CCFFCC"/>
            <w:noWrap/>
            <w:vAlign w:val="bottom"/>
            <w:hideMark/>
          </w:tcPr>
          <w:p w:rsidR="000658F7" w:rsidRPr="000658F7" w:rsidRDefault="000658F7" w:rsidP="000658F7">
            <w:pPr>
              <w:widowControl/>
              <w:autoSpaceDE/>
              <w:autoSpaceDN/>
              <w:rPr>
                <w:rFonts w:ascii="Calibri" w:hAnsi="Calibri" w:cs="Calibri"/>
                <w:b/>
                <w:bCs/>
                <w:color w:val="000000"/>
                <w:lang w:val="et-EE" w:eastAsia="et-EE"/>
              </w:rPr>
            </w:pPr>
            <w:r w:rsidRPr="000658F7">
              <w:rPr>
                <w:rFonts w:ascii="Calibri" w:hAnsi="Calibri" w:cs="Calibri"/>
                <w:b/>
                <w:bCs/>
                <w:color w:val="000000"/>
                <w:lang w:val="et-EE" w:eastAsia="et-EE"/>
              </w:rPr>
              <w:t>Olemasolevad laenud</w:t>
            </w:r>
          </w:p>
        </w:tc>
        <w:tc>
          <w:tcPr>
            <w:tcW w:w="1545" w:type="dxa"/>
            <w:tcBorders>
              <w:top w:val="single" w:sz="4" w:space="0" w:color="auto"/>
              <w:left w:val="single" w:sz="4" w:space="0" w:color="auto"/>
              <w:bottom w:val="single" w:sz="4" w:space="0" w:color="auto"/>
              <w:right w:val="single" w:sz="4" w:space="0" w:color="auto"/>
            </w:tcBorders>
            <w:shd w:val="clear" w:color="DDEBF7" w:fill="CCFFCC"/>
            <w:noWrap/>
            <w:vAlign w:val="bottom"/>
            <w:hideMark/>
          </w:tcPr>
          <w:p w:rsidR="000658F7" w:rsidRPr="000658F7" w:rsidRDefault="000658F7" w:rsidP="000658F7">
            <w:pPr>
              <w:widowControl/>
              <w:autoSpaceDE/>
              <w:autoSpaceDN/>
              <w:jc w:val="center"/>
              <w:rPr>
                <w:rFonts w:ascii="Calibri" w:hAnsi="Calibri" w:cs="Calibri"/>
                <w:b/>
                <w:bCs/>
                <w:color w:val="000000"/>
                <w:lang w:val="et-EE" w:eastAsia="et-EE"/>
              </w:rPr>
            </w:pPr>
            <w:r w:rsidRPr="000658F7">
              <w:rPr>
                <w:rFonts w:ascii="Calibri" w:hAnsi="Calibri" w:cs="Calibri"/>
                <w:b/>
                <w:bCs/>
                <w:color w:val="000000"/>
                <w:lang w:val="et-EE" w:eastAsia="et-EE"/>
              </w:rPr>
              <w:t>31.12.2019</w:t>
            </w:r>
          </w:p>
        </w:tc>
        <w:tc>
          <w:tcPr>
            <w:tcW w:w="1406" w:type="dxa"/>
            <w:tcBorders>
              <w:top w:val="single" w:sz="4" w:space="0" w:color="auto"/>
              <w:left w:val="single" w:sz="4" w:space="0" w:color="auto"/>
              <w:bottom w:val="single" w:sz="4" w:space="0" w:color="auto"/>
              <w:right w:val="single" w:sz="4" w:space="0" w:color="auto"/>
            </w:tcBorders>
            <w:shd w:val="clear" w:color="DDEBF7" w:fill="CCFFCC"/>
            <w:noWrap/>
            <w:vAlign w:val="bottom"/>
            <w:hideMark/>
          </w:tcPr>
          <w:p w:rsidR="000658F7" w:rsidRPr="000658F7" w:rsidRDefault="000658F7" w:rsidP="000658F7">
            <w:pPr>
              <w:widowControl/>
              <w:autoSpaceDE/>
              <w:autoSpaceDN/>
              <w:jc w:val="center"/>
              <w:rPr>
                <w:rFonts w:ascii="Calibri" w:hAnsi="Calibri" w:cs="Calibri"/>
                <w:b/>
                <w:bCs/>
                <w:color w:val="000000"/>
                <w:lang w:val="et-EE" w:eastAsia="et-EE"/>
              </w:rPr>
            </w:pPr>
            <w:r w:rsidRPr="000658F7">
              <w:rPr>
                <w:rFonts w:ascii="Calibri" w:hAnsi="Calibri" w:cs="Calibri"/>
                <w:b/>
                <w:bCs/>
                <w:color w:val="000000"/>
                <w:lang w:val="et-EE" w:eastAsia="et-EE"/>
              </w:rPr>
              <w:t>2020</w:t>
            </w:r>
          </w:p>
        </w:tc>
        <w:tc>
          <w:tcPr>
            <w:tcW w:w="1390" w:type="dxa"/>
            <w:tcBorders>
              <w:top w:val="single" w:sz="4" w:space="0" w:color="auto"/>
              <w:left w:val="single" w:sz="4" w:space="0" w:color="auto"/>
              <w:bottom w:val="single" w:sz="4" w:space="0" w:color="auto"/>
              <w:right w:val="single" w:sz="4" w:space="0" w:color="auto"/>
            </w:tcBorders>
            <w:shd w:val="clear" w:color="DDEBF7" w:fill="CCFFCC"/>
            <w:noWrap/>
            <w:vAlign w:val="bottom"/>
            <w:hideMark/>
          </w:tcPr>
          <w:p w:rsidR="000658F7" w:rsidRPr="000658F7" w:rsidRDefault="000658F7" w:rsidP="000658F7">
            <w:pPr>
              <w:widowControl/>
              <w:autoSpaceDE/>
              <w:autoSpaceDN/>
              <w:jc w:val="center"/>
              <w:rPr>
                <w:rFonts w:ascii="Calibri" w:hAnsi="Calibri" w:cs="Calibri"/>
                <w:b/>
                <w:bCs/>
                <w:color w:val="000000"/>
                <w:lang w:val="et-EE" w:eastAsia="et-EE"/>
              </w:rPr>
            </w:pPr>
            <w:r w:rsidRPr="000658F7">
              <w:rPr>
                <w:rFonts w:ascii="Calibri" w:hAnsi="Calibri" w:cs="Calibri"/>
                <w:b/>
                <w:bCs/>
                <w:color w:val="000000"/>
                <w:lang w:val="et-EE" w:eastAsia="et-EE"/>
              </w:rPr>
              <w:t>2021</w:t>
            </w:r>
          </w:p>
        </w:tc>
        <w:tc>
          <w:tcPr>
            <w:tcW w:w="1391" w:type="dxa"/>
            <w:tcBorders>
              <w:top w:val="single" w:sz="4" w:space="0" w:color="auto"/>
              <w:left w:val="single" w:sz="4" w:space="0" w:color="auto"/>
              <w:bottom w:val="single" w:sz="4" w:space="0" w:color="auto"/>
              <w:right w:val="single" w:sz="4" w:space="0" w:color="auto"/>
            </w:tcBorders>
            <w:shd w:val="clear" w:color="DDEBF7" w:fill="CCFFCC"/>
            <w:noWrap/>
            <w:vAlign w:val="bottom"/>
            <w:hideMark/>
          </w:tcPr>
          <w:p w:rsidR="000658F7" w:rsidRPr="000658F7" w:rsidRDefault="000658F7" w:rsidP="000658F7">
            <w:pPr>
              <w:widowControl/>
              <w:autoSpaceDE/>
              <w:autoSpaceDN/>
              <w:jc w:val="center"/>
              <w:rPr>
                <w:rFonts w:ascii="Calibri" w:hAnsi="Calibri" w:cs="Calibri"/>
                <w:b/>
                <w:bCs/>
                <w:color w:val="000000"/>
                <w:lang w:val="et-EE" w:eastAsia="et-EE"/>
              </w:rPr>
            </w:pPr>
            <w:r w:rsidRPr="000658F7">
              <w:rPr>
                <w:rFonts w:ascii="Calibri" w:hAnsi="Calibri" w:cs="Calibri"/>
                <w:b/>
                <w:bCs/>
                <w:color w:val="000000"/>
                <w:lang w:val="et-EE" w:eastAsia="et-EE"/>
              </w:rPr>
              <w:t>2022</w:t>
            </w:r>
          </w:p>
        </w:tc>
        <w:tc>
          <w:tcPr>
            <w:tcW w:w="1413" w:type="dxa"/>
            <w:tcBorders>
              <w:top w:val="single" w:sz="4" w:space="0" w:color="auto"/>
              <w:left w:val="single" w:sz="4" w:space="0" w:color="auto"/>
              <w:bottom w:val="single" w:sz="4" w:space="0" w:color="auto"/>
              <w:right w:val="single" w:sz="4" w:space="0" w:color="auto"/>
            </w:tcBorders>
            <w:shd w:val="clear" w:color="DDEBF7" w:fill="CCFFCC"/>
            <w:noWrap/>
            <w:vAlign w:val="bottom"/>
            <w:hideMark/>
          </w:tcPr>
          <w:p w:rsidR="000658F7" w:rsidRPr="000658F7" w:rsidRDefault="000658F7" w:rsidP="000658F7">
            <w:pPr>
              <w:widowControl/>
              <w:autoSpaceDE/>
              <w:autoSpaceDN/>
              <w:jc w:val="center"/>
              <w:rPr>
                <w:rFonts w:ascii="Calibri" w:hAnsi="Calibri" w:cs="Calibri"/>
                <w:b/>
                <w:bCs/>
                <w:color w:val="000000"/>
                <w:lang w:val="et-EE" w:eastAsia="et-EE"/>
              </w:rPr>
            </w:pPr>
            <w:r w:rsidRPr="000658F7">
              <w:rPr>
                <w:rFonts w:ascii="Calibri" w:hAnsi="Calibri" w:cs="Calibri"/>
                <w:b/>
                <w:bCs/>
                <w:color w:val="000000"/>
                <w:lang w:val="et-EE" w:eastAsia="et-EE"/>
              </w:rPr>
              <w:t>2023</w:t>
            </w:r>
          </w:p>
        </w:tc>
      </w:tr>
      <w:tr w:rsidR="006A708A" w:rsidRPr="000658F7" w:rsidTr="00FA1C99">
        <w:trPr>
          <w:trHeight w:val="119"/>
        </w:trPr>
        <w:tc>
          <w:tcPr>
            <w:tcW w:w="3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08A" w:rsidRDefault="006A708A" w:rsidP="006A708A">
            <w:pPr>
              <w:rPr>
                <w:rFonts w:ascii="Calibri" w:hAnsi="Calibri" w:cs="Calibri"/>
                <w:color w:val="000000"/>
                <w:lang w:val="et-EE" w:eastAsia="et-EE"/>
              </w:rPr>
            </w:pPr>
            <w:r>
              <w:rPr>
                <w:rFonts w:ascii="Calibri" w:hAnsi="Calibri" w:cs="Calibri"/>
                <w:color w:val="000000"/>
              </w:rPr>
              <w:t>2010013425</w:t>
            </w:r>
          </w:p>
        </w:tc>
        <w:tc>
          <w:tcPr>
            <w:tcW w:w="1545"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7 076,20</w:t>
            </w:r>
          </w:p>
        </w:tc>
        <w:tc>
          <w:tcPr>
            <w:tcW w:w="1406"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7 076,20</w:t>
            </w:r>
          </w:p>
        </w:tc>
        <w:tc>
          <w:tcPr>
            <w:tcW w:w="1390"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 </w:t>
            </w:r>
          </w:p>
        </w:tc>
        <w:tc>
          <w:tcPr>
            <w:tcW w:w="1391"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 </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 </w:t>
            </w:r>
          </w:p>
        </w:tc>
      </w:tr>
      <w:tr w:rsidR="006A708A" w:rsidRPr="000658F7" w:rsidTr="00FA1C99">
        <w:trPr>
          <w:trHeight w:val="119"/>
        </w:trPr>
        <w:tc>
          <w:tcPr>
            <w:tcW w:w="3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08A" w:rsidRDefault="006A708A" w:rsidP="006A708A">
            <w:pPr>
              <w:rPr>
                <w:rFonts w:ascii="Calibri" w:hAnsi="Calibri" w:cs="Calibri"/>
                <w:color w:val="000000"/>
              </w:rPr>
            </w:pPr>
            <w:r>
              <w:rPr>
                <w:rFonts w:ascii="Calibri" w:hAnsi="Calibri" w:cs="Calibri"/>
                <w:color w:val="000000"/>
              </w:rPr>
              <w:t>2018025396</w:t>
            </w:r>
          </w:p>
        </w:tc>
        <w:tc>
          <w:tcPr>
            <w:tcW w:w="1545"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400 000,00</w:t>
            </w:r>
          </w:p>
        </w:tc>
        <w:tc>
          <w:tcPr>
            <w:tcW w:w="1406"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55 172,40</w:t>
            </w:r>
          </w:p>
        </w:tc>
        <w:tc>
          <w:tcPr>
            <w:tcW w:w="1390"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55 172,40</w:t>
            </w:r>
          </w:p>
        </w:tc>
        <w:tc>
          <w:tcPr>
            <w:tcW w:w="1391"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55 172,40</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55 172,40</w:t>
            </w:r>
          </w:p>
        </w:tc>
      </w:tr>
      <w:tr w:rsidR="006A708A" w:rsidRPr="000658F7" w:rsidTr="00FA1C99">
        <w:trPr>
          <w:trHeight w:val="119"/>
        </w:trPr>
        <w:tc>
          <w:tcPr>
            <w:tcW w:w="3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08A" w:rsidRDefault="006A708A" w:rsidP="006A708A">
            <w:pPr>
              <w:rPr>
                <w:rFonts w:ascii="Calibri" w:hAnsi="Calibri" w:cs="Calibri"/>
                <w:color w:val="000000"/>
              </w:rPr>
            </w:pPr>
            <w:r>
              <w:rPr>
                <w:rFonts w:ascii="Calibri" w:hAnsi="Calibri" w:cs="Calibri"/>
                <w:color w:val="000000"/>
              </w:rPr>
              <w:t>2015015375</w:t>
            </w:r>
          </w:p>
        </w:tc>
        <w:tc>
          <w:tcPr>
            <w:tcW w:w="1545"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260 526,24</w:t>
            </w:r>
          </w:p>
        </w:tc>
        <w:tc>
          <w:tcPr>
            <w:tcW w:w="1406"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47 368,44</w:t>
            </w:r>
          </w:p>
        </w:tc>
        <w:tc>
          <w:tcPr>
            <w:tcW w:w="1390"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47 368,44</w:t>
            </w:r>
          </w:p>
        </w:tc>
        <w:tc>
          <w:tcPr>
            <w:tcW w:w="1391"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47 368,44</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47 368,44</w:t>
            </w:r>
          </w:p>
        </w:tc>
      </w:tr>
      <w:tr w:rsidR="006A708A" w:rsidRPr="000658F7" w:rsidTr="00FA1C99">
        <w:trPr>
          <w:trHeight w:val="119"/>
        </w:trPr>
        <w:tc>
          <w:tcPr>
            <w:tcW w:w="3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08A" w:rsidRDefault="006A708A" w:rsidP="006A708A">
            <w:pPr>
              <w:rPr>
                <w:rFonts w:ascii="Calibri" w:hAnsi="Calibri" w:cs="Calibri"/>
                <w:color w:val="000000"/>
              </w:rPr>
            </w:pPr>
            <w:r>
              <w:rPr>
                <w:rFonts w:ascii="Calibri" w:hAnsi="Calibri" w:cs="Calibri"/>
                <w:color w:val="000000"/>
              </w:rPr>
              <w:t>2013016734</w:t>
            </w:r>
          </w:p>
        </w:tc>
        <w:tc>
          <w:tcPr>
            <w:tcW w:w="1545"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41 130,56</w:t>
            </w:r>
          </w:p>
        </w:tc>
        <w:tc>
          <w:tcPr>
            <w:tcW w:w="1406"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11 478,24</w:t>
            </w:r>
          </w:p>
        </w:tc>
        <w:tc>
          <w:tcPr>
            <w:tcW w:w="1390"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11 478,24</w:t>
            </w:r>
          </w:p>
        </w:tc>
        <w:tc>
          <w:tcPr>
            <w:tcW w:w="1391"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11 478,24</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6 695,84</w:t>
            </w:r>
          </w:p>
        </w:tc>
      </w:tr>
      <w:tr w:rsidR="006A708A" w:rsidRPr="000658F7" w:rsidTr="00FA1C99">
        <w:trPr>
          <w:trHeight w:val="119"/>
        </w:trPr>
        <w:tc>
          <w:tcPr>
            <w:tcW w:w="3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08A" w:rsidRDefault="006A708A" w:rsidP="006A708A">
            <w:pPr>
              <w:rPr>
                <w:rFonts w:ascii="Calibri" w:hAnsi="Calibri" w:cs="Calibri"/>
                <w:color w:val="000000"/>
              </w:rPr>
            </w:pPr>
            <w:r>
              <w:rPr>
                <w:rFonts w:ascii="Calibri" w:hAnsi="Calibri" w:cs="Calibri"/>
                <w:color w:val="000000"/>
              </w:rPr>
              <w:t>2017009698</w:t>
            </w:r>
          </w:p>
        </w:tc>
        <w:tc>
          <w:tcPr>
            <w:tcW w:w="1545"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275 663,60</w:t>
            </w:r>
          </w:p>
        </w:tc>
        <w:tc>
          <w:tcPr>
            <w:tcW w:w="1406"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37 168,20</w:t>
            </w:r>
          </w:p>
        </w:tc>
        <w:tc>
          <w:tcPr>
            <w:tcW w:w="1390"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37 168,20</w:t>
            </w:r>
          </w:p>
        </w:tc>
        <w:tc>
          <w:tcPr>
            <w:tcW w:w="1391"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37 168,20</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37 168,20</w:t>
            </w:r>
          </w:p>
        </w:tc>
      </w:tr>
      <w:tr w:rsidR="006A708A" w:rsidRPr="000658F7" w:rsidTr="00FA1C99">
        <w:trPr>
          <w:trHeight w:val="119"/>
        </w:trPr>
        <w:tc>
          <w:tcPr>
            <w:tcW w:w="3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08A" w:rsidRDefault="006A708A" w:rsidP="006A708A">
            <w:pPr>
              <w:rPr>
                <w:rFonts w:ascii="Calibri" w:hAnsi="Calibri" w:cs="Calibri"/>
                <w:color w:val="000000"/>
              </w:rPr>
            </w:pPr>
            <w:r>
              <w:rPr>
                <w:rFonts w:ascii="Calibri" w:hAnsi="Calibri" w:cs="Calibri"/>
                <w:color w:val="000000"/>
              </w:rPr>
              <w:t>11-050351-JI</w:t>
            </w:r>
          </w:p>
        </w:tc>
        <w:tc>
          <w:tcPr>
            <w:tcW w:w="1545"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19 226,16</w:t>
            </w:r>
          </w:p>
        </w:tc>
        <w:tc>
          <w:tcPr>
            <w:tcW w:w="1406"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11 441,03</w:t>
            </w:r>
          </w:p>
        </w:tc>
        <w:tc>
          <w:tcPr>
            <w:tcW w:w="1390"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7 785,13</w:t>
            </w:r>
          </w:p>
        </w:tc>
        <w:tc>
          <w:tcPr>
            <w:tcW w:w="1391"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 </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 </w:t>
            </w:r>
          </w:p>
        </w:tc>
      </w:tr>
      <w:tr w:rsidR="006A708A" w:rsidRPr="000658F7" w:rsidTr="00FA1C99">
        <w:trPr>
          <w:trHeight w:val="119"/>
        </w:trPr>
        <w:tc>
          <w:tcPr>
            <w:tcW w:w="3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08A" w:rsidRDefault="006A708A" w:rsidP="006A708A">
            <w:pPr>
              <w:rPr>
                <w:rFonts w:ascii="Calibri" w:hAnsi="Calibri" w:cs="Calibri"/>
                <w:color w:val="000000"/>
              </w:rPr>
            </w:pPr>
            <w:r>
              <w:rPr>
                <w:rFonts w:ascii="Calibri" w:hAnsi="Calibri" w:cs="Calibri"/>
                <w:color w:val="000000"/>
              </w:rPr>
              <w:lastRenderedPageBreak/>
              <w:t>15-053416-JI</w:t>
            </w:r>
          </w:p>
        </w:tc>
        <w:tc>
          <w:tcPr>
            <w:tcW w:w="1545"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48 052,16</w:t>
            </w:r>
          </w:p>
        </w:tc>
        <w:tc>
          <w:tcPr>
            <w:tcW w:w="1406"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8 736,96</w:t>
            </w:r>
          </w:p>
        </w:tc>
        <w:tc>
          <w:tcPr>
            <w:tcW w:w="1390"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8 736,96</w:t>
            </w:r>
          </w:p>
        </w:tc>
        <w:tc>
          <w:tcPr>
            <w:tcW w:w="1391"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8 736,96</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8 736,96</w:t>
            </w:r>
          </w:p>
        </w:tc>
      </w:tr>
      <w:tr w:rsidR="006A708A" w:rsidRPr="000658F7" w:rsidTr="00FA1C99">
        <w:trPr>
          <w:trHeight w:val="119"/>
        </w:trPr>
        <w:tc>
          <w:tcPr>
            <w:tcW w:w="3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08A" w:rsidRDefault="006A708A" w:rsidP="006A708A">
            <w:pPr>
              <w:rPr>
                <w:rFonts w:ascii="Calibri" w:hAnsi="Calibri" w:cs="Calibri"/>
                <w:color w:val="000000"/>
              </w:rPr>
            </w:pPr>
            <w:r>
              <w:rPr>
                <w:rFonts w:ascii="Calibri" w:hAnsi="Calibri" w:cs="Calibri"/>
                <w:color w:val="000000"/>
              </w:rPr>
              <w:t>KL-041017VI</w:t>
            </w:r>
          </w:p>
        </w:tc>
        <w:tc>
          <w:tcPr>
            <w:tcW w:w="1545"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192 857,04</w:t>
            </w:r>
          </w:p>
        </w:tc>
        <w:tc>
          <w:tcPr>
            <w:tcW w:w="1406"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38 571,48</w:t>
            </w:r>
          </w:p>
        </w:tc>
        <w:tc>
          <w:tcPr>
            <w:tcW w:w="1390"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38 571,48</w:t>
            </w:r>
          </w:p>
        </w:tc>
        <w:tc>
          <w:tcPr>
            <w:tcW w:w="1391"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38 571,48</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38 571,48</w:t>
            </w:r>
          </w:p>
        </w:tc>
      </w:tr>
      <w:tr w:rsidR="006A708A" w:rsidRPr="000658F7" w:rsidTr="00FA1C99">
        <w:trPr>
          <w:trHeight w:val="119"/>
        </w:trPr>
        <w:tc>
          <w:tcPr>
            <w:tcW w:w="3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08A" w:rsidRDefault="006A708A" w:rsidP="006A708A">
            <w:pPr>
              <w:rPr>
                <w:rFonts w:ascii="Calibri" w:hAnsi="Calibri" w:cs="Calibri"/>
                <w:color w:val="000000"/>
              </w:rPr>
            </w:pPr>
            <w:r>
              <w:rPr>
                <w:rFonts w:ascii="Calibri" w:hAnsi="Calibri" w:cs="Calibri"/>
                <w:color w:val="000000"/>
              </w:rPr>
              <w:t>KL-160614LA</w:t>
            </w:r>
          </w:p>
        </w:tc>
        <w:tc>
          <w:tcPr>
            <w:tcW w:w="1545"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148 623,50</w:t>
            </w:r>
          </w:p>
        </w:tc>
        <w:tc>
          <w:tcPr>
            <w:tcW w:w="1406"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33 027,60</w:t>
            </w:r>
          </w:p>
        </w:tc>
        <w:tc>
          <w:tcPr>
            <w:tcW w:w="1390"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33 027,60</w:t>
            </w:r>
          </w:p>
        </w:tc>
        <w:tc>
          <w:tcPr>
            <w:tcW w:w="1391"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33 027,60</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33 027,60</w:t>
            </w:r>
          </w:p>
        </w:tc>
      </w:tr>
      <w:tr w:rsidR="006A708A" w:rsidRPr="000658F7" w:rsidTr="00FA1C99">
        <w:trPr>
          <w:trHeight w:val="119"/>
        </w:trPr>
        <w:tc>
          <w:tcPr>
            <w:tcW w:w="3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08A" w:rsidRDefault="006A708A" w:rsidP="006A708A">
            <w:pPr>
              <w:rPr>
                <w:rFonts w:ascii="Calibri" w:hAnsi="Calibri" w:cs="Calibri"/>
                <w:color w:val="000000"/>
              </w:rPr>
            </w:pPr>
            <w:r>
              <w:rPr>
                <w:rFonts w:ascii="Calibri" w:hAnsi="Calibri" w:cs="Calibri"/>
                <w:color w:val="000000"/>
              </w:rPr>
              <w:t>KL-100216VI</w:t>
            </w:r>
          </w:p>
        </w:tc>
        <w:tc>
          <w:tcPr>
            <w:tcW w:w="1545"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530 000,00</w:t>
            </w:r>
          </w:p>
        </w:tc>
        <w:tc>
          <w:tcPr>
            <w:tcW w:w="1406"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30 000,00</w:t>
            </w:r>
          </w:p>
        </w:tc>
        <w:tc>
          <w:tcPr>
            <w:tcW w:w="1390"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30 000,00</w:t>
            </w:r>
          </w:p>
        </w:tc>
        <w:tc>
          <w:tcPr>
            <w:tcW w:w="1391"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30 000,00</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5 000,00</w:t>
            </w:r>
          </w:p>
        </w:tc>
      </w:tr>
      <w:tr w:rsidR="006A708A" w:rsidRPr="000658F7" w:rsidTr="00FA1C99">
        <w:trPr>
          <w:trHeight w:val="119"/>
        </w:trPr>
        <w:tc>
          <w:tcPr>
            <w:tcW w:w="3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08A" w:rsidRDefault="006A708A" w:rsidP="006A708A">
            <w:pPr>
              <w:rPr>
                <w:rFonts w:ascii="Calibri" w:hAnsi="Calibri" w:cs="Calibri"/>
                <w:color w:val="000000"/>
              </w:rPr>
            </w:pPr>
            <w:r>
              <w:rPr>
                <w:rFonts w:ascii="Calibri" w:hAnsi="Calibri" w:cs="Calibri"/>
                <w:color w:val="000000"/>
              </w:rPr>
              <w:t>KL-100615VI</w:t>
            </w:r>
          </w:p>
        </w:tc>
        <w:tc>
          <w:tcPr>
            <w:tcW w:w="1545"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79 999,86</w:t>
            </w:r>
          </w:p>
        </w:tc>
        <w:tc>
          <w:tcPr>
            <w:tcW w:w="1406"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35 000,04</w:t>
            </w:r>
          </w:p>
        </w:tc>
        <w:tc>
          <w:tcPr>
            <w:tcW w:w="1390"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44 999,82</w:t>
            </w:r>
          </w:p>
        </w:tc>
        <w:tc>
          <w:tcPr>
            <w:tcW w:w="1391"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 </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 </w:t>
            </w:r>
          </w:p>
        </w:tc>
      </w:tr>
      <w:tr w:rsidR="006A708A" w:rsidRPr="000658F7" w:rsidTr="00FA1C99">
        <w:trPr>
          <w:trHeight w:val="119"/>
        </w:trPr>
        <w:tc>
          <w:tcPr>
            <w:tcW w:w="3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08A" w:rsidRDefault="006A708A" w:rsidP="006A708A">
            <w:pPr>
              <w:rPr>
                <w:rFonts w:ascii="Calibri" w:hAnsi="Calibri" w:cs="Calibri"/>
                <w:color w:val="000000"/>
              </w:rPr>
            </w:pPr>
            <w:r>
              <w:rPr>
                <w:rFonts w:ascii="Calibri" w:hAnsi="Calibri" w:cs="Calibri"/>
                <w:color w:val="000000"/>
              </w:rPr>
              <w:t>KL-220915VI</w:t>
            </w:r>
          </w:p>
        </w:tc>
        <w:tc>
          <w:tcPr>
            <w:tcW w:w="1545"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218 749,83</w:t>
            </w:r>
          </w:p>
        </w:tc>
        <w:tc>
          <w:tcPr>
            <w:tcW w:w="1406"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125 000,04</w:t>
            </w:r>
          </w:p>
        </w:tc>
        <w:tc>
          <w:tcPr>
            <w:tcW w:w="1390"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93 749,79</w:t>
            </w:r>
          </w:p>
        </w:tc>
        <w:tc>
          <w:tcPr>
            <w:tcW w:w="1391"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 </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 </w:t>
            </w:r>
          </w:p>
        </w:tc>
      </w:tr>
      <w:tr w:rsidR="006A708A" w:rsidRPr="000658F7" w:rsidTr="00FA1C99">
        <w:trPr>
          <w:trHeight w:val="119"/>
        </w:trPr>
        <w:tc>
          <w:tcPr>
            <w:tcW w:w="3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08A" w:rsidRDefault="006A708A" w:rsidP="006A708A">
            <w:pPr>
              <w:rPr>
                <w:rFonts w:ascii="Calibri" w:hAnsi="Calibri" w:cs="Calibri"/>
                <w:color w:val="000000"/>
              </w:rPr>
            </w:pPr>
            <w:r>
              <w:rPr>
                <w:rFonts w:ascii="Calibri" w:hAnsi="Calibri" w:cs="Calibri"/>
                <w:color w:val="000000"/>
              </w:rPr>
              <w:t>18-098896-J</w:t>
            </w:r>
          </w:p>
        </w:tc>
        <w:tc>
          <w:tcPr>
            <w:tcW w:w="1545"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724 405,83</w:t>
            </w:r>
          </w:p>
        </w:tc>
        <w:tc>
          <w:tcPr>
            <w:tcW w:w="1406"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76 483,42</w:t>
            </w:r>
          </w:p>
        </w:tc>
        <w:tc>
          <w:tcPr>
            <w:tcW w:w="1390"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77 475,50</w:t>
            </w:r>
          </w:p>
        </w:tc>
        <w:tc>
          <w:tcPr>
            <w:tcW w:w="1391" w:type="dxa"/>
            <w:tcBorders>
              <w:top w:val="nil"/>
              <w:left w:val="nil"/>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78 454,90</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08A" w:rsidRDefault="006A708A" w:rsidP="006A708A">
            <w:pPr>
              <w:jc w:val="right"/>
              <w:rPr>
                <w:rFonts w:ascii="Calibri" w:hAnsi="Calibri" w:cs="Calibri"/>
                <w:color w:val="000000"/>
              </w:rPr>
            </w:pPr>
            <w:r>
              <w:rPr>
                <w:rFonts w:ascii="Calibri" w:hAnsi="Calibri" w:cs="Calibri"/>
                <w:color w:val="000000"/>
              </w:rPr>
              <w:t>79 447,41</w:t>
            </w:r>
          </w:p>
        </w:tc>
      </w:tr>
      <w:tr w:rsidR="006A708A" w:rsidRPr="000658F7" w:rsidTr="00FA1C99">
        <w:trPr>
          <w:trHeight w:val="119"/>
        </w:trPr>
        <w:tc>
          <w:tcPr>
            <w:tcW w:w="3056" w:type="dxa"/>
            <w:tcBorders>
              <w:top w:val="single" w:sz="4" w:space="0" w:color="auto"/>
              <w:left w:val="single" w:sz="4" w:space="0" w:color="auto"/>
              <w:bottom w:val="single" w:sz="4" w:space="0" w:color="auto"/>
              <w:right w:val="single" w:sz="4" w:space="0" w:color="auto"/>
            </w:tcBorders>
            <w:shd w:val="clear" w:color="DDEBF7" w:fill="C0C0C0"/>
            <w:noWrap/>
            <w:vAlign w:val="bottom"/>
            <w:hideMark/>
          </w:tcPr>
          <w:p w:rsidR="006A708A" w:rsidRDefault="006A708A" w:rsidP="006A708A">
            <w:pPr>
              <w:rPr>
                <w:rFonts w:ascii="Calibri" w:hAnsi="Calibri" w:cs="Calibri"/>
                <w:b/>
                <w:bCs/>
                <w:color w:val="000000"/>
              </w:rPr>
            </w:pPr>
            <w:r>
              <w:rPr>
                <w:rFonts w:ascii="Calibri" w:hAnsi="Calibri" w:cs="Calibri"/>
                <w:b/>
                <w:bCs/>
                <w:color w:val="000000"/>
              </w:rPr>
              <w:t>Tagasimaksed kokku</w:t>
            </w:r>
          </w:p>
        </w:tc>
        <w:tc>
          <w:tcPr>
            <w:tcW w:w="1545" w:type="dxa"/>
            <w:tcBorders>
              <w:top w:val="nil"/>
              <w:left w:val="nil"/>
              <w:bottom w:val="single" w:sz="4" w:space="0" w:color="auto"/>
              <w:right w:val="single" w:sz="4" w:space="0" w:color="auto"/>
            </w:tcBorders>
            <w:shd w:val="clear" w:color="DDEBF7" w:fill="C0C0C0"/>
            <w:noWrap/>
            <w:vAlign w:val="bottom"/>
            <w:hideMark/>
          </w:tcPr>
          <w:p w:rsidR="006A708A" w:rsidRDefault="006A708A" w:rsidP="006A708A">
            <w:pPr>
              <w:jc w:val="right"/>
              <w:rPr>
                <w:rFonts w:ascii="Calibri" w:hAnsi="Calibri" w:cs="Calibri"/>
                <w:b/>
                <w:bCs/>
                <w:color w:val="000000"/>
              </w:rPr>
            </w:pPr>
            <w:r>
              <w:rPr>
                <w:rFonts w:ascii="Calibri" w:hAnsi="Calibri" w:cs="Calibri"/>
                <w:b/>
                <w:bCs/>
                <w:color w:val="000000"/>
              </w:rPr>
              <w:t> </w:t>
            </w:r>
          </w:p>
        </w:tc>
        <w:tc>
          <w:tcPr>
            <w:tcW w:w="1406" w:type="dxa"/>
            <w:tcBorders>
              <w:top w:val="nil"/>
              <w:left w:val="nil"/>
              <w:bottom w:val="single" w:sz="4" w:space="0" w:color="auto"/>
              <w:right w:val="single" w:sz="4" w:space="0" w:color="auto"/>
            </w:tcBorders>
            <w:shd w:val="clear" w:color="DDEBF7" w:fill="C0C0C0"/>
            <w:noWrap/>
            <w:vAlign w:val="bottom"/>
            <w:hideMark/>
          </w:tcPr>
          <w:p w:rsidR="006A708A" w:rsidRDefault="006A708A" w:rsidP="006A708A">
            <w:pPr>
              <w:jc w:val="right"/>
              <w:rPr>
                <w:rFonts w:ascii="Calibri" w:hAnsi="Calibri" w:cs="Calibri"/>
                <w:b/>
                <w:bCs/>
                <w:color w:val="000000"/>
              </w:rPr>
            </w:pPr>
            <w:r>
              <w:rPr>
                <w:rFonts w:ascii="Calibri" w:hAnsi="Calibri" w:cs="Calibri"/>
                <w:b/>
                <w:bCs/>
                <w:color w:val="000000"/>
              </w:rPr>
              <w:t>516 524,05</w:t>
            </w:r>
          </w:p>
        </w:tc>
        <w:tc>
          <w:tcPr>
            <w:tcW w:w="1390" w:type="dxa"/>
            <w:tcBorders>
              <w:top w:val="nil"/>
              <w:left w:val="nil"/>
              <w:bottom w:val="single" w:sz="4" w:space="0" w:color="auto"/>
              <w:right w:val="single" w:sz="4" w:space="0" w:color="auto"/>
            </w:tcBorders>
            <w:shd w:val="clear" w:color="DDEBF7" w:fill="C0C0C0"/>
            <w:noWrap/>
            <w:vAlign w:val="bottom"/>
            <w:hideMark/>
          </w:tcPr>
          <w:p w:rsidR="006A708A" w:rsidRDefault="006A708A" w:rsidP="006A708A">
            <w:pPr>
              <w:jc w:val="right"/>
              <w:rPr>
                <w:rFonts w:ascii="Calibri" w:hAnsi="Calibri" w:cs="Calibri"/>
                <w:b/>
                <w:bCs/>
                <w:color w:val="000000"/>
              </w:rPr>
            </w:pPr>
            <w:r>
              <w:rPr>
                <w:rFonts w:ascii="Calibri" w:hAnsi="Calibri" w:cs="Calibri"/>
                <w:b/>
                <w:bCs/>
                <w:color w:val="000000"/>
              </w:rPr>
              <w:t>485 533,56</w:t>
            </w:r>
          </w:p>
        </w:tc>
        <w:tc>
          <w:tcPr>
            <w:tcW w:w="1391" w:type="dxa"/>
            <w:tcBorders>
              <w:top w:val="nil"/>
              <w:left w:val="nil"/>
              <w:bottom w:val="single" w:sz="4" w:space="0" w:color="auto"/>
              <w:right w:val="single" w:sz="4" w:space="0" w:color="auto"/>
            </w:tcBorders>
            <w:shd w:val="clear" w:color="DDEBF7" w:fill="C0C0C0"/>
            <w:noWrap/>
            <w:vAlign w:val="bottom"/>
            <w:hideMark/>
          </w:tcPr>
          <w:p w:rsidR="006A708A" w:rsidRDefault="006A708A" w:rsidP="006A708A">
            <w:pPr>
              <w:jc w:val="right"/>
              <w:rPr>
                <w:rFonts w:ascii="Calibri" w:hAnsi="Calibri" w:cs="Calibri"/>
                <w:b/>
                <w:bCs/>
                <w:color w:val="000000"/>
              </w:rPr>
            </w:pPr>
            <w:r>
              <w:rPr>
                <w:rFonts w:ascii="Calibri" w:hAnsi="Calibri" w:cs="Calibri"/>
                <w:b/>
                <w:bCs/>
                <w:color w:val="000000"/>
              </w:rPr>
              <w:t>339 978,22</w:t>
            </w:r>
          </w:p>
        </w:tc>
        <w:tc>
          <w:tcPr>
            <w:tcW w:w="1413" w:type="dxa"/>
            <w:tcBorders>
              <w:top w:val="single" w:sz="4" w:space="0" w:color="auto"/>
              <w:left w:val="single" w:sz="4" w:space="0" w:color="auto"/>
              <w:bottom w:val="single" w:sz="4" w:space="0" w:color="auto"/>
              <w:right w:val="single" w:sz="4" w:space="0" w:color="auto"/>
            </w:tcBorders>
            <w:shd w:val="clear" w:color="DDEBF7" w:fill="C0C0C0"/>
            <w:noWrap/>
            <w:vAlign w:val="bottom"/>
            <w:hideMark/>
          </w:tcPr>
          <w:p w:rsidR="006A708A" w:rsidRDefault="006A708A" w:rsidP="006A708A">
            <w:pPr>
              <w:jc w:val="right"/>
              <w:rPr>
                <w:rFonts w:ascii="Calibri" w:hAnsi="Calibri" w:cs="Calibri"/>
                <w:b/>
                <w:bCs/>
                <w:color w:val="000000"/>
              </w:rPr>
            </w:pPr>
            <w:r>
              <w:rPr>
                <w:rFonts w:ascii="Calibri" w:hAnsi="Calibri" w:cs="Calibri"/>
                <w:b/>
                <w:bCs/>
                <w:color w:val="000000"/>
              </w:rPr>
              <w:t>311 188,33</w:t>
            </w:r>
          </w:p>
        </w:tc>
      </w:tr>
      <w:tr w:rsidR="006A708A" w:rsidRPr="000658F7" w:rsidTr="00FA1C99">
        <w:trPr>
          <w:trHeight w:val="119"/>
        </w:trPr>
        <w:tc>
          <w:tcPr>
            <w:tcW w:w="3056" w:type="dxa"/>
            <w:tcBorders>
              <w:top w:val="single" w:sz="4" w:space="0" w:color="auto"/>
              <w:left w:val="single" w:sz="4" w:space="0" w:color="auto"/>
              <w:bottom w:val="single" w:sz="4" w:space="0" w:color="auto"/>
              <w:right w:val="single" w:sz="4" w:space="0" w:color="auto"/>
            </w:tcBorders>
            <w:shd w:val="clear" w:color="DDEBF7" w:fill="C0C0C0"/>
            <w:vAlign w:val="bottom"/>
            <w:hideMark/>
          </w:tcPr>
          <w:p w:rsidR="006A708A" w:rsidRDefault="006A708A" w:rsidP="006A708A">
            <w:pPr>
              <w:rPr>
                <w:rFonts w:ascii="Calibri" w:hAnsi="Calibri" w:cs="Calibri"/>
                <w:b/>
                <w:bCs/>
                <w:color w:val="000000"/>
              </w:rPr>
            </w:pPr>
            <w:r>
              <w:rPr>
                <w:rFonts w:ascii="Calibri" w:hAnsi="Calibri" w:cs="Calibri"/>
                <w:b/>
                <w:bCs/>
                <w:color w:val="000000"/>
              </w:rPr>
              <w:t>Laenujääk perioodi lõpus</w:t>
            </w:r>
          </w:p>
        </w:tc>
        <w:tc>
          <w:tcPr>
            <w:tcW w:w="1545" w:type="dxa"/>
            <w:tcBorders>
              <w:top w:val="nil"/>
              <w:left w:val="nil"/>
              <w:bottom w:val="single" w:sz="4" w:space="0" w:color="auto"/>
              <w:right w:val="single" w:sz="4" w:space="0" w:color="auto"/>
            </w:tcBorders>
            <w:shd w:val="clear" w:color="000000" w:fill="C0C0C0"/>
            <w:noWrap/>
            <w:vAlign w:val="bottom"/>
            <w:hideMark/>
          </w:tcPr>
          <w:p w:rsidR="006A708A" w:rsidRDefault="006A708A" w:rsidP="006A708A">
            <w:pPr>
              <w:jc w:val="right"/>
              <w:rPr>
                <w:rFonts w:ascii="Calibri" w:hAnsi="Calibri" w:cs="Calibri"/>
                <w:b/>
                <w:bCs/>
                <w:color w:val="000000"/>
              </w:rPr>
            </w:pPr>
            <w:r>
              <w:rPr>
                <w:rFonts w:ascii="Calibri" w:hAnsi="Calibri" w:cs="Calibri"/>
                <w:b/>
                <w:bCs/>
                <w:color w:val="000000"/>
              </w:rPr>
              <w:t>2 946 310,98</w:t>
            </w:r>
          </w:p>
        </w:tc>
        <w:tc>
          <w:tcPr>
            <w:tcW w:w="1406" w:type="dxa"/>
            <w:tcBorders>
              <w:top w:val="nil"/>
              <w:left w:val="nil"/>
              <w:bottom w:val="single" w:sz="4" w:space="0" w:color="auto"/>
              <w:right w:val="single" w:sz="4" w:space="0" w:color="auto"/>
            </w:tcBorders>
            <w:shd w:val="clear" w:color="000000" w:fill="C0C0C0"/>
            <w:noWrap/>
            <w:vAlign w:val="bottom"/>
            <w:hideMark/>
          </w:tcPr>
          <w:p w:rsidR="006A708A" w:rsidRDefault="006A708A" w:rsidP="006A708A">
            <w:pPr>
              <w:jc w:val="right"/>
              <w:rPr>
                <w:rFonts w:ascii="Calibri" w:hAnsi="Calibri" w:cs="Calibri"/>
                <w:b/>
                <w:bCs/>
                <w:color w:val="000000"/>
              </w:rPr>
            </w:pPr>
            <w:r>
              <w:rPr>
                <w:rFonts w:ascii="Calibri" w:hAnsi="Calibri" w:cs="Calibri"/>
                <w:b/>
                <w:bCs/>
                <w:color w:val="000000"/>
              </w:rPr>
              <w:t>2 429 786,93</w:t>
            </w:r>
          </w:p>
        </w:tc>
        <w:tc>
          <w:tcPr>
            <w:tcW w:w="1390" w:type="dxa"/>
            <w:tcBorders>
              <w:top w:val="nil"/>
              <w:left w:val="nil"/>
              <w:bottom w:val="single" w:sz="4" w:space="0" w:color="auto"/>
              <w:right w:val="single" w:sz="4" w:space="0" w:color="auto"/>
            </w:tcBorders>
            <w:shd w:val="clear" w:color="000000" w:fill="C0C0C0"/>
            <w:noWrap/>
            <w:vAlign w:val="bottom"/>
            <w:hideMark/>
          </w:tcPr>
          <w:p w:rsidR="006A708A" w:rsidRDefault="006A708A" w:rsidP="006A708A">
            <w:pPr>
              <w:jc w:val="right"/>
              <w:rPr>
                <w:rFonts w:ascii="Calibri" w:hAnsi="Calibri" w:cs="Calibri"/>
                <w:b/>
                <w:bCs/>
                <w:color w:val="000000"/>
              </w:rPr>
            </w:pPr>
            <w:r>
              <w:rPr>
                <w:rFonts w:ascii="Calibri" w:hAnsi="Calibri" w:cs="Calibri"/>
                <w:b/>
                <w:bCs/>
                <w:color w:val="000000"/>
              </w:rPr>
              <w:t>1 944 253,37</w:t>
            </w:r>
          </w:p>
        </w:tc>
        <w:tc>
          <w:tcPr>
            <w:tcW w:w="1391" w:type="dxa"/>
            <w:tcBorders>
              <w:top w:val="nil"/>
              <w:left w:val="nil"/>
              <w:bottom w:val="single" w:sz="4" w:space="0" w:color="auto"/>
              <w:right w:val="single" w:sz="4" w:space="0" w:color="auto"/>
            </w:tcBorders>
            <w:shd w:val="clear" w:color="000000" w:fill="C0C0C0"/>
            <w:noWrap/>
            <w:vAlign w:val="bottom"/>
            <w:hideMark/>
          </w:tcPr>
          <w:p w:rsidR="006A708A" w:rsidRDefault="006A708A" w:rsidP="006A708A">
            <w:pPr>
              <w:jc w:val="right"/>
              <w:rPr>
                <w:rFonts w:ascii="Calibri" w:hAnsi="Calibri" w:cs="Calibri"/>
                <w:b/>
                <w:bCs/>
                <w:color w:val="000000"/>
              </w:rPr>
            </w:pPr>
            <w:r>
              <w:rPr>
                <w:rFonts w:ascii="Calibri" w:hAnsi="Calibri" w:cs="Calibri"/>
                <w:b/>
                <w:bCs/>
                <w:color w:val="000000"/>
              </w:rPr>
              <w:t>1 604 275,15</w:t>
            </w:r>
          </w:p>
        </w:tc>
        <w:tc>
          <w:tcPr>
            <w:tcW w:w="141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6A708A" w:rsidRDefault="006A708A" w:rsidP="006A708A">
            <w:pPr>
              <w:jc w:val="right"/>
              <w:rPr>
                <w:rFonts w:ascii="Calibri" w:hAnsi="Calibri" w:cs="Calibri"/>
                <w:b/>
                <w:bCs/>
                <w:color w:val="000000"/>
              </w:rPr>
            </w:pPr>
            <w:r>
              <w:rPr>
                <w:rFonts w:ascii="Calibri" w:hAnsi="Calibri" w:cs="Calibri"/>
                <w:b/>
                <w:bCs/>
                <w:color w:val="000000"/>
              </w:rPr>
              <w:t>1 293 086,82</w:t>
            </w:r>
          </w:p>
        </w:tc>
      </w:tr>
      <w:tr w:rsidR="00534B25" w:rsidRPr="000658F7" w:rsidTr="00FA1C99">
        <w:trPr>
          <w:trHeight w:val="119"/>
        </w:trPr>
        <w:tc>
          <w:tcPr>
            <w:tcW w:w="3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4B25" w:rsidRDefault="00534B25" w:rsidP="00534B25">
            <w:pPr>
              <w:rPr>
                <w:rFonts w:ascii="Calibri" w:hAnsi="Calibri" w:cs="Calibri"/>
                <w:color w:val="000000"/>
              </w:rPr>
            </w:pPr>
            <w:r>
              <w:rPr>
                <w:rFonts w:ascii="Calibri" w:hAnsi="Calibri" w:cs="Calibri"/>
                <w:color w:val="000000"/>
              </w:rPr>
              <w:t>Planeeritavad laenud</w:t>
            </w:r>
          </w:p>
        </w:tc>
        <w:tc>
          <w:tcPr>
            <w:tcW w:w="1545" w:type="dxa"/>
            <w:tcBorders>
              <w:top w:val="nil"/>
              <w:left w:val="nil"/>
              <w:bottom w:val="single" w:sz="4" w:space="0" w:color="auto"/>
              <w:right w:val="single" w:sz="4" w:space="0" w:color="auto"/>
            </w:tcBorders>
            <w:shd w:val="clear" w:color="auto" w:fill="auto"/>
            <w:noWrap/>
            <w:vAlign w:val="bottom"/>
            <w:hideMark/>
          </w:tcPr>
          <w:p w:rsidR="00534B25" w:rsidRDefault="00534B25" w:rsidP="00534B25">
            <w:pPr>
              <w:jc w:val="right"/>
              <w:rPr>
                <w:rFonts w:ascii="Calibri" w:hAnsi="Calibri" w:cs="Calibri"/>
                <w:color w:val="000000"/>
                <w:lang w:val="et-EE" w:eastAsia="et-EE"/>
              </w:rPr>
            </w:pPr>
            <w:r>
              <w:rPr>
                <w:rFonts w:ascii="Calibri" w:hAnsi="Calibri" w:cs="Calibri"/>
                <w:color w:val="000000"/>
              </w:rPr>
              <w:t>400 000,00</w:t>
            </w:r>
          </w:p>
        </w:tc>
        <w:tc>
          <w:tcPr>
            <w:tcW w:w="1406" w:type="dxa"/>
            <w:tcBorders>
              <w:top w:val="nil"/>
              <w:left w:val="nil"/>
              <w:bottom w:val="single" w:sz="4" w:space="0" w:color="auto"/>
              <w:right w:val="single" w:sz="4" w:space="0" w:color="auto"/>
            </w:tcBorders>
            <w:shd w:val="clear" w:color="auto" w:fill="auto"/>
            <w:noWrap/>
            <w:vAlign w:val="bottom"/>
            <w:hideMark/>
          </w:tcPr>
          <w:p w:rsidR="00534B25" w:rsidRDefault="00534B25" w:rsidP="00534B25">
            <w:pPr>
              <w:jc w:val="right"/>
              <w:rPr>
                <w:rFonts w:ascii="Calibri" w:hAnsi="Calibri" w:cs="Calibri"/>
                <w:color w:val="000000"/>
              </w:rPr>
            </w:pPr>
            <w:r>
              <w:rPr>
                <w:rFonts w:ascii="Calibri" w:hAnsi="Calibri" w:cs="Calibri"/>
                <w:color w:val="000000"/>
              </w:rPr>
              <w:t>2 100 000,00</w:t>
            </w:r>
          </w:p>
        </w:tc>
        <w:tc>
          <w:tcPr>
            <w:tcW w:w="1390" w:type="dxa"/>
            <w:tcBorders>
              <w:top w:val="nil"/>
              <w:left w:val="nil"/>
              <w:bottom w:val="single" w:sz="4" w:space="0" w:color="auto"/>
              <w:right w:val="single" w:sz="4" w:space="0" w:color="auto"/>
            </w:tcBorders>
            <w:shd w:val="clear" w:color="auto" w:fill="auto"/>
            <w:noWrap/>
            <w:vAlign w:val="bottom"/>
            <w:hideMark/>
          </w:tcPr>
          <w:p w:rsidR="00534B25" w:rsidRDefault="00534B25" w:rsidP="00534B25">
            <w:pPr>
              <w:jc w:val="right"/>
              <w:rPr>
                <w:rFonts w:ascii="Calibri" w:hAnsi="Calibri" w:cs="Calibri"/>
                <w:color w:val="000000"/>
              </w:rPr>
            </w:pPr>
            <w:r>
              <w:rPr>
                <w:rFonts w:ascii="Calibri" w:hAnsi="Calibri" w:cs="Calibri"/>
                <w:color w:val="000000"/>
              </w:rPr>
              <w:t>1 350 000,00</w:t>
            </w:r>
          </w:p>
        </w:tc>
        <w:tc>
          <w:tcPr>
            <w:tcW w:w="1391" w:type="dxa"/>
            <w:tcBorders>
              <w:top w:val="nil"/>
              <w:left w:val="nil"/>
              <w:bottom w:val="single" w:sz="4" w:space="0" w:color="auto"/>
              <w:right w:val="single" w:sz="4" w:space="0" w:color="auto"/>
            </w:tcBorders>
            <w:shd w:val="clear" w:color="auto" w:fill="auto"/>
            <w:noWrap/>
            <w:vAlign w:val="bottom"/>
            <w:hideMark/>
          </w:tcPr>
          <w:p w:rsidR="00534B25" w:rsidRDefault="00534B25" w:rsidP="00534B25">
            <w:pPr>
              <w:jc w:val="right"/>
              <w:rPr>
                <w:rFonts w:ascii="Calibri" w:hAnsi="Calibri" w:cs="Calibri"/>
                <w:color w:val="000000"/>
              </w:rPr>
            </w:pPr>
            <w:r>
              <w:rPr>
                <w:rFonts w:ascii="Calibri" w:hAnsi="Calibri" w:cs="Calibri"/>
                <w:color w:val="000000"/>
              </w:rPr>
              <w:t>400 000,00</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4B25" w:rsidRDefault="00534B25" w:rsidP="00534B25">
            <w:pPr>
              <w:jc w:val="right"/>
              <w:rPr>
                <w:rFonts w:ascii="Calibri" w:hAnsi="Calibri" w:cs="Calibri"/>
                <w:color w:val="000000"/>
              </w:rPr>
            </w:pPr>
            <w:r>
              <w:rPr>
                <w:rFonts w:ascii="Calibri" w:hAnsi="Calibri" w:cs="Calibri"/>
                <w:color w:val="000000"/>
              </w:rPr>
              <w:t>370 000,00</w:t>
            </w:r>
          </w:p>
        </w:tc>
      </w:tr>
      <w:tr w:rsidR="00534B25" w:rsidRPr="000658F7" w:rsidTr="00FA1C99">
        <w:trPr>
          <w:trHeight w:val="119"/>
        </w:trPr>
        <w:tc>
          <w:tcPr>
            <w:tcW w:w="3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4B25" w:rsidRDefault="00534B25" w:rsidP="00534B25">
            <w:pPr>
              <w:rPr>
                <w:rFonts w:ascii="Calibri" w:hAnsi="Calibri" w:cs="Calibri"/>
                <w:color w:val="000000"/>
              </w:rPr>
            </w:pPr>
            <w:r>
              <w:rPr>
                <w:rFonts w:ascii="Calibri" w:hAnsi="Calibri" w:cs="Calibri"/>
                <w:color w:val="000000"/>
              </w:rPr>
              <w:t>Planeeritavate laenude tagasimaksed</w:t>
            </w:r>
          </w:p>
        </w:tc>
        <w:tc>
          <w:tcPr>
            <w:tcW w:w="1545" w:type="dxa"/>
            <w:tcBorders>
              <w:top w:val="nil"/>
              <w:left w:val="nil"/>
              <w:bottom w:val="single" w:sz="4" w:space="0" w:color="auto"/>
              <w:right w:val="single" w:sz="4" w:space="0" w:color="auto"/>
            </w:tcBorders>
            <w:shd w:val="clear" w:color="auto" w:fill="auto"/>
            <w:noWrap/>
            <w:vAlign w:val="bottom"/>
            <w:hideMark/>
          </w:tcPr>
          <w:p w:rsidR="00534B25" w:rsidRDefault="00534B25" w:rsidP="00534B25">
            <w:pPr>
              <w:jc w:val="right"/>
              <w:rPr>
                <w:rFonts w:ascii="Calibri" w:hAnsi="Calibri" w:cs="Calibri"/>
                <w:color w:val="000000"/>
              </w:rPr>
            </w:pPr>
            <w:r>
              <w:rPr>
                <w:rFonts w:ascii="Calibri" w:hAnsi="Calibri" w:cs="Calibri"/>
                <w:color w:val="000000"/>
              </w:rPr>
              <w:t> </w:t>
            </w:r>
          </w:p>
        </w:tc>
        <w:tc>
          <w:tcPr>
            <w:tcW w:w="1406" w:type="dxa"/>
            <w:tcBorders>
              <w:top w:val="nil"/>
              <w:left w:val="nil"/>
              <w:bottom w:val="single" w:sz="4" w:space="0" w:color="auto"/>
              <w:right w:val="single" w:sz="4" w:space="0" w:color="auto"/>
            </w:tcBorders>
            <w:shd w:val="clear" w:color="auto" w:fill="auto"/>
            <w:noWrap/>
            <w:vAlign w:val="bottom"/>
            <w:hideMark/>
          </w:tcPr>
          <w:p w:rsidR="00534B25" w:rsidRDefault="00534B25" w:rsidP="00534B25">
            <w:pPr>
              <w:jc w:val="right"/>
              <w:rPr>
                <w:rFonts w:ascii="Calibri" w:hAnsi="Calibri" w:cs="Calibri"/>
                <w:color w:val="000000"/>
              </w:rPr>
            </w:pPr>
            <w:r>
              <w:rPr>
                <w:rFonts w:ascii="Calibri" w:hAnsi="Calibri" w:cs="Calibri"/>
                <w:color w:val="000000"/>
              </w:rPr>
              <w:t>170 200,00</w:t>
            </w:r>
          </w:p>
        </w:tc>
        <w:tc>
          <w:tcPr>
            <w:tcW w:w="1390" w:type="dxa"/>
            <w:tcBorders>
              <w:top w:val="nil"/>
              <w:left w:val="nil"/>
              <w:bottom w:val="single" w:sz="4" w:space="0" w:color="auto"/>
              <w:right w:val="single" w:sz="4" w:space="0" w:color="auto"/>
            </w:tcBorders>
            <w:shd w:val="clear" w:color="auto" w:fill="auto"/>
            <w:noWrap/>
            <w:vAlign w:val="bottom"/>
            <w:hideMark/>
          </w:tcPr>
          <w:p w:rsidR="00534B25" w:rsidRDefault="00534B25" w:rsidP="00534B25">
            <w:pPr>
              <w:jc w:val="right"/>
              <w:rPr>
                <w:rFonts w:ascii="Calibri" w:hAnsi="Calibri" w:cs="Calibri"/>
                <w:color w:val="000000"/>
              </w:rPr>
            </w:pPr>
            <w:r>
              <w:rPr>
                <w:rFonts w:ascii="Calibri" w:hAnsi="Calibri" w:cs="Calibri"/>
                <w:color w:val="000000"/>
              </w:rPr>
              <w:t>352 200,00</w:t>
            </w:r>
          </w:p>
        </w:tc>
        <w:tc>
          <w:tcPr>
            <w:tcW w:w="1391" w:type="dxa"/>
            <w:tcBorders>
              <w:top w:val="nil"/>
              <w:left w:val="nil"/>
              <w:bottom w:val="single" w:sz="4" w:space="0" w:color="auto"/>
              <w:right w:val="single" w:sz="4" w:space="0" w:color="auto"/>
            </w:tcBorders>
            <w:shd w:val="clear" w:color="auto" w:fill="auto"/>
            <w:noWrap/>
            <w:vAlign w:val="bottom"/>
            <w:hideMark/>
          </w:tcPr>
          <w:p w:rsidR="00534B25" w:rsidRDefault="00534B25" w:rsidP="00534B25">
            <w:pPr>
              <w:jc w:val="right"/>
              <w:rPr>
                <w:rFonts w:ascii="Calibri" w:hAnsi="Calibri" w:cs="Calibri"/>
                <w:color w:val="000000"/>
              </w:rPr>
            </w:pPr>
            <w:r>
              <w:rPr>
                <w:rFonts w:ascii="Calibri" w:hAnsi="Calibri" w:cs="Calibri"/>
                <w:color w:val="000000"/>
              </w:rPr>
              <w:t>447 200,00</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4B25" w:rsidRDefault="00534B25" w:rsidP="00534B25">
            <w:pPr>
              <w:jc w:val="right"/>
              <w:rPr>
                <w:rFonts w:ascii="Calibri" w:hAnsi="Calibri" w:cs="Calibri"/>
                <w:color w:val="000000"/>
              </w:rPr>
            </w:pPr>
            <w:r>
              <w:rPr>
                <w:rFonts w:ascii="Calibri" w:hAnsi="Calibri" w:cs="Calibri"/>
                <w:color w:val="000000"/>
              </w:rPr>
              <w:t>488 200,00</w:t>
            </w:r>
          </w:p>
        </w:tc>
      </w:tr>
      <w:tr w:rsidR="00534B25" w:rsidRPr="000658F7" w:rsidTr="00FA1C99">
        <w:trPr>
          <w:trHeight w:val="239"/>
        </w:trPr>
        <w:tc>
          <w:tcPr>
            <w:tcW w:w="3056"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534B25" w:rsidRDefault="00534B25" w:rsidP="00534B25">
            <w:pPr>
              <w:rPr>
                <w:rFonts w:ascii="Calibri" w:hAnsi="Calibri" w:cs="Calibri"/>
                <w:b/>
                <w:bCs/>
                <w:color w:val="000000"/>
              </w:rPr>
            </w:pPr>
            <w:r>
              <w:rPr>
                <w:rFonts w:ascii="Calibri" w:hAnsi="Calibri" w:cs="Calibri"/>
                <w:b/>
                <w:bCs/>
                <w:color w:val="000000"/>
              </w:rPr>
              <w:t>Laenujääk perioodi lõpus (koos</w:t>
            </w:r>
            <w:r>
              <w:rPr>
                <w:rFonts w:ascii="Calibri" w:hAnsi="Calibri" w:cs="Calibri"/>
                <w:b/>
                <w:bCs/>
                <w:color w:val="000000"/>
              </w:rPr>
              <w:br/>
              <w:t>planeeritavate laenudega)</w:t>
            </w:r>
          </w:p>
        </w:tc>
        <w:tc>
          <w:tcPr>
            <w:tcW w:w="154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534B25" w:rsidRDefault="00534B25" w:rsidP="00534B25">
            <w:pPr>
              <w:jc w:val="right"/>
              <w:rPr>
                <w:rFonts w:ascii="Calibri" w:hAnsi="Calibri" w:cs="Calibri"/>
                <w:b/>
                <w:bCs/>
                <w:color w:val="000000"/>
              </w:rPr>
            </w:pPr>
            <w:r>
              <w:rPr>
                <w:rFonts w:ascii="Calibri" w:hAnsi="Calibri" w:cs="Calibri"/>
                <w:b/>
                <w:bCs/>
                <w:color w:val="000000"/>
              </w:rPr>
              <w:t>2 946 310,98</w:t>
            </w:r>
          </w:p>
        </w:tc>
        <w:tc>
          <w:tcPr>
            <w:tcW w:w="140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534B25" w:rsidRDefault="00534B25" w:rsidP="00534B25">
            <w:pPr>
              <w:jc w:val="right"/>
              <w:rPr>
                <w:rFonts w:ascii="Calibri" w:hAnsi="Calibri" w:cs="Calibri"/>
                <w:b/>
                <w:bCs/>
                <w:color w:val="000000"/>
              </w:rPr>
            </w:pPr>
            <w:r>
              <w:rPr>
                <w:rFonts w:ascii="Calibri" w:hAnsi="Calibri" w:cs="Calibri"/>
                <w:b/>
                <w:bCs/>
                <w:color w:val="000000"/>
              </w:rPr>
              <w:t>4 359 586,93</w:t>
            </w:r>
          </w:p>
        </w:tc>
        <w:tc>
          <w:tcPr>
            <w:tcW w:w="139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534B25" w:rsidRDefault="00534B25" w:rsidP="00534B25">
            <w:pPr>
              <w:jc w:val="right"/>
              <w:rPr>
                <w:rFonts w:ascii="Calibri" w:hAnsi="Calibri" w:cs="Calibri"/>
                <w:b/>
                <w:bCs/>
                <w:color w:val="000000"/>
              </w:rPr>
            </w:pPr>
            <w:r>
              <w:rPr>
                <w:rFonts w:ascii="Calibri" w:hAnsi="Calibri" w:cs="Calibri"/>
                <w:b/>
                <w:bCs/>
                <w:color w:val="000000"/>
              </w:rPr>
              <w:t>2 942 053,37</w:t>
            </w:r>
          </w:p>
        </w:tc>
        <w:tc>
          <w:tcPr>
            <w:tcW w:w="1391"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534B25" w:rsidRDefault="00534B25" w:rsidP="00534B25">
            <w:pPr>
              <w:jc w:val="right"/>
              <w:rPr>
                <w:rFonts w:ascii="Calibri" w:hAnsi="Calibri" w:cs="Calibri"/>
                <w:b/>
                <w:bCs/>
                <w:color w:val="000000"/>
              </w:rPr>
            </w:pPr>
            <w:r>
              <w:rPr>
                <w:rFonts w:ascii="Calibri" w:hAnsi="Calibri" w:cs="Calibri"/>
                <w:b/>
                <w:bCs/>
                <w:color w:val="000000"/>
              </w:rPr>
              <w:t>1 557 075,15</w:t>
            </w:r>
          </w:p>
        </w:tc>
        <w:tc>
          <w:tcPr>
            <w:tcW w:w="141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534B25" w:rsidRDefault="00534B25" w:rsidP="00534B25">
            <w:pPr>
              <w:jc w:val="right"/>
              <w:rPr>
                <w:rFonts w:ascii="Calibri" w:hAnsi="Calibri" w:cs="Calibri"/>
                <w:b/>
                <w:bCs/>
                <w:color w:val="000000"/>
              </w:rPr>
            </w:pPr>
            <w:r>
              <w:rPr>
                <w:rFonts w:ascii="Calibri" w:hAnsi="Calibri" w:cs="Calibri"/>
                <w:b/>
                <w:bCs/>
                <w:color w:val="000000"/>
              </w:rPr>
              <w:t>1 174 886,82</w:t>
            </w:r>
          </w:p>
        </w:tc>
      </w:tr>
    </w:tbl>
    <w:p w:rsidR="00837CDB" w:rsidRDefault="00837CDB" w:rsidP="00837CDB">
      <w:bookmarkStart w:id="17" w:name="_Toc22542304"/>
    </w:p>
    <w:p w:rsidR="001755F4" w:rsidRDefault="001755F4" w:rsidP="00837CDB"/>
    <w:p w:rsidR="006D719C" w:rsidRPr="00FA5C8A" w:rsidRDefault="00FD2672" w:rsidP="00FA5C8A">
      <w:pPr>
        <w:pStyle w:val="Heading1"/>
        <w:numPr>
          <w:ilvl w:val="1"/>
          <w:numId w:val="2"/>
        </w:numPr>
      </w:pPr>
      <w:r w:rsidRPr="00FA5C8A">
        <w:t>Netovõlakoormus</w:t>
      </w:r>
      <w:bookmarkEnd w:id="17"/>
    </w:p>
    <w:p w:rsidR="00FD2672" w:rsidRDefault="00FD2672" w:rsidP="00326510">
      <w:pPr>
        <w:jc w:val="both"/>
        <w:rPr>
          <w:sz w:val="24"/>
          <w:szCs w:val="24"/>
        </w:rPr>
      </w:pPr>
    </w:p>
    <w:p w:rsidR="00FD2672" w:rsidRDefault="00FD2672" w:rsidP="00326510">
      <w:pPr>
        <w:jc w:val="both"/>
        <w:rPr>
          <w:sz w:val="24"/>
          <w:szCs w:val="24"/>
        </w:rPr>
      </w:pPr>
      <w:r>
        <w:rPr>
          <w:sz w:val="24"/>
          <w:szCs w:val="24"/>
        </w:rPr>
        <w:t xml:space="preserve">Netovõlakoormus on võlakohustuste ja likviidsete varade kogusumma vahe. Kohaliku omavalitsuse netovõlakoormus </w:t>
      </w:r>
      <w:r w:rsidRPr="00FD2672">
        <w:rPr>
          <w:sz w:val="24"/>
          <w:szCs w:val="24"/>
        </w:rPr>
        <w:t>võib aruandeaasta lõpul ulatuda lõppenud aruandeaasta põhitegevuse tulude ja põhitegevuse kulude kuuekordse vaheni, kuid ei tohi ületada sama aruandeaasta põhitegevuse tulude kogusummat</w:t>
      </w:r>
      <w:r>
        <w:rPr>
          <w:sz w:val="24"/>
          <w:szCs w:val="24"/>
        </w:rPr>
        <w:t>. N</w:t>
      </w:r>
      <w:r w:rsidRPr="00FD2672">
        <w:rPr>
          <w:sz w:val="24"/>
          <w:szCs w:val="24"/>
        </w:rPr>
        <w:t xml:space="preserve">etovõlakoormus </w:t>
      </w:r>
      <w:r>
        <w:rPr>
          <w:sz w:val="24"/>
          <w:szCs w:val="24"/>
        </w:rPr>
        <w:t xml:space="preserve">võib </w:t>
      </w:r>
      <w:r w:rsidRPr="00FD2672">
        <w:rPr>
          <w:sz w:val="24"/>
          <w:szCs w:val="24"/>
        </w:rPr>
        <w:t>ulatuda kuni 60 protsendini vastava aruandeaasta põhitegevuse tuludest.</w:t>
      </w:r>
      <w:r>
        <w:rPr>
          <w:sz w:val="24"/>
          <w:szCs w:val="24"/>
        </w:rPr>
        <w:t xml:space="preserve"> </w:t>
      </w:r>
    </w:p>
    <w:p w:rsidR="00FD2672" w:rsidRDefault="00FD2672" w:rsidP="00326510">
      <w:pPr>
        <w:jc w:val="both"/>
        <w:rPr>
          <w:sz w:val="24"/>
          <w:szCs w:val="24"/>
        </w:rPr>
      </w:pPr>
    </w:p>
    <w:tbl>
      <w:tblPr>
        <w:tblW w:w="10220" w:type="dxa"/>
        <w:tblCellMar>
          <w:left w:w="70" w:type="dxa"/>
          <w:right w:w="70" w:type="dxa"/>
        </w:tblCellMar>
        <w:tblLook w:val="04A0" w:firstRow="1" w:lastRow="0" w:firstColumn="1" w:lastColumn="0" w:noHBand="0" w:noVBand="1"/>
      </w:tblPr>
      <w:tblGrid>
        <w:gridCol w:w="3972"/>
        <w:gridCol w:w="1369"/>
        <w:gridCol w:w="1267"/>
        <w:gridCol w:w="1267"/>
        <w:gridCol w:w="1164"/>
        <w:gridCol w:w="1181"/>
      </w:tblGrid>
      <w:tr w:rsidR="001755F4" w:rsidRPr="00ED19E6" w:rsidTr="00FA1C99">
        <w:trPr>
          <w:trHeight w:val="618"/>
        </w:trPr>
        <w:tc>
          <w:tcPr>
            <w:tcW w:w="3972" w:type="dxa"/>
            <w:tcBorders>
              <w:top w:val="single" w:sz="8" w:space="0" w:color="auto"/>
              <w:left w:val="single" w:sz="8" w:space="0" w:color="auto"/>
              <w:bottom w:val="single" w:sz="8" w:space="0" w:color="auto"/>
              <w:right w:val="single" w:sz="4" w:space="0" w:color="auto"/>
            </w:tcBorders>
            <w:shd w:val="clear" w:color="000000" w:fill="CCFFCC"/>
            <w:vAlign w:val="bottom"/>
            <w:hideMark/>
          </w:tcPr>
          <w:p w:rsidR="00ED19E6" w:rsidRPr="00ED19E6" w:rsidRDefault="00ED19E6" w:rsidP="00ED19E6">
            <w:pPr>
              <w:widowControl/>
              <w:autoSpaceDE/>
              <w:autoSpaceDN/>
              <w:jc w:val="center"/>
              <w:rPr>
                <w:rFonts w:ascii="Arial" w:hAnsi="Arial" w:cs="Arial"/>
                <w:b/>
                <w:bCs/>
                <w:sz w:val="20"/>
                <w:szCs w:val="20"/>
                <w:lang w:val="et-EE" w:eastAsia="et-EE"/>
              </w:rPr>
            </w:pPr>
            <w:r w:rsidRPr="00ED19E6">
              <w:rPr>
                <w:rFonts w:ascii="Arial" w:hAnsi="Arial" w:cs="Arial"/>
                <w:b/>
                <w:bCs/>
                <w:sz w:val="20"/>
                <w:szCs w:val="20"/>
                <w:lang w:val="et-EE" w:eastAsia="et-EE"/>
              </w:rPr>
              <w:t> </w:t>
            </w:r>
          </w:p>
        </w:tc>
        <w:tc>
          <w:tcPr>
            <w:tcW w:w="1369" w:type="dxa"/>
            <w:tcBorders>
              <w:top w:val="single" w:sz="8" w:space="0" w:color="auto"/>
              <w:left w:val="nil"/>
              <w:bottom w:val="single" w:sz="8" w:space="0" w:color="auto"/>
              <w:right w:val="single" w:sz="4" w:space="0" w:color="auto"/>
            </w:tcBorders>
            <w:shd w:val="clear" w:color="000000" w:fill="CCFFCC"/>
            <w:vAlign w:val="bottom"/>
            <w:hideMark/>
          </w:tcPr>
          <w:p w:rsidR="00ED19E6" w:rsidRPr="00ED19E6" w:rsidRDefault="00ED19E6" w:rsidP="00ED19E6">
            <w:pPr>
              <w:widowControl/>
              <w:autoSpaceDE/>
              <w:autoSpaceDN/>
              <w:jc w:val="center"/>
              <w:rPr>
                <w:rFonts w:ascii="Arial" w:hAnsi="Arial" w:cs="Arial"/>
                <w:b/>
                <w:bCs/>
                <w:sz w:val="20"/>
                <w:szCs w:val="20"/>
                <w:lang w:val="et-EE" w:eastAsia="et-EE"/>
              </w:rPr>
            </w:pPr>
            <w:r w:rsidRPr="00ED19E6">
              <w:rPr>
                <w:rFonts w:ascii="Arial" w:hAnsi="Arial" w:cs="Arial"/>
                <w:b/>
                <w:bCs/>
                <w:sz w:val="20"/>
                <w:szCs w:val="20"/>
                <w:lang w:val="et-EE" w:eastAsia="et-EE"/>
              </w:rPr>
              <w:t>2019 eeldatav täitmine</w:t>
            </w:r>
          </w:p>
        </w:tc>
        <w:tc>
          <w:tcPr>
            <w:tcW w:w="1267" w:type="dxa"/>
            <w:tcBorders>
              <w:top w:val="single" w:sz="8" w:space="0" w:color="auto"/>
              <w:left w:val="nil"/>
              <w:bottom w:val="single" w:sz="8" w:space="0" w:color="auto"/>
              <w:right w:val="single" w:sz="4" w:space="0" w:color="auto"/>
            </w:tcBorders>
            <w:shd w:val="clear" w:color="000000" w:fill="CCFFCC"/>
            <w:vAlign w:val="bottom"/>
            <w:hideMark/>
          </w:tcPr>
          <w:p w:rsidR="00ED19E6" w:rsidRPr="00ED19E6" w:rsidRDefault="00ED19E6" w:rsidP="00ED19E6">
            <w:pPr>
              <w:widowControl/>
              <w:autoSpaceDE/>
              <w:autoSpaceDN/>
              <w:jc w:val="center"/>
              <w:rPr>
                <w:rFonts w:ascii="Arial" w:hAnsi="Arial" w:cs="Arial"/>
                <w:b/>
                <w:bCs/>
                <w:sz w:val="20"/>
                <w:szCs w:val="20"/>
                <w:lang w:val="et-EE" w:eastAsia="et-EE"/>
              </w:rPr>
            </w:pPr>
            <w:r w:rsidRPr="00ED19E6">
              <w:rPr>
                <w:rFonts w:ascii="Arial" w:hAnsi="Arial" w:cs="Arial"/>
                <w:b/>
                <w:bCs/>
                <w:sz w:val="20"/>
                <w:szCs w:val="20"/>
                <w:lang w:val="et-EE" w:eastAsia="et-EE"/>
              </w:rPr>
              <w:t xml:space="preserve">2020 eelarve  </w:t>
            </w:r>
          </w:p>
        </w:tc>
        <w:tc>
          <w:tcPr>
            <w:tcW w:w="1267" w:type="dxa"/>
            <w:tcBorders>
              <w:top w:val="single" w:sz="8" w:space="0" w:color="auto"/>
              <w:left w:val="nil"/>
              <w:bottom w:val="single" w:sz="8" w:space="0" w:color="auto"/>
              <w:right w:val="single" w:sz="4" w:space="0" w:color="auto"/>
            </w:tcBorders>
            <w:shd w:val="clear" w:color="000000" w:fill="CCFFCC"/>
            <w:vAlign w:val="bottom"/>
            <w:hideMark/>
          </w:tcPr>
          <w:p w:rsidR="00ED19E6" w:rsidRPr="00ED19E6" w:rsidRDefault="00ED19E6" w:rsidP="00ED19E6">
            <w:pPr>
              <w:widowControl/>
              <w:autoSpaceDE/>
              <w:autoSpaceDN/>
              <w:jc w:val="center"/>
              <w:rPr>
                <w:rFonts w:ascii="Arial" w:hAnsi="Arial" w:cs="Arial"/>
                <w:b/>
                <w:bCs/>
                <w:sz w:val="20"/>
                <w:szCs w:val="20"/>
                <w:lang w:val="et-EE" w:eastAsia="et-EE"/>
              </w:rPr>
            </w:pPr>
            <w:r w:rsidRPr="00ED19E6">
              <w:rPr>
                <w:rFonts w:ascii="Arial" w:hAnsi="Arial" w:cs="Arial"/>
                <w:b/>
                <w:bCs/>
                <w:sz w:val="20"/>
                <w:szCs w:val="20"/>
                <w:lang w:val="et-EE" w:eastAsia="et-EE"/>
              </w:rPr>
              <w:t xml:space="preserve">2021 eelarve  </w:t>
            </w:r>
          </w:p>
        </w:tc>
        <w:tc>
          <w:tcPr>
            <w:tcW w:w="1164" w:type="dxa"/>
            <w:tcBorders>
              <w:top w:val="single" w:sz="8" w:space="0" w:color="auto"/>
              <w:left w:val="nil"/>
              <w:bottom w:val="single" w:sz="8" w:space="0" w:color="auto"/>
              <w:right w:val="single" w:sz="4" w:space="0" w:color="auto"/>
            </w:tcBorders>
            <w:shd w:val="clear" w:color="000000" w:fill="CCFFCC"/>
            <w:vAlign w:val="bottom"/>
            <w:hideMark/>
          </w:tcPr>
          <w:p w:rsidR="00ED19E6" w:rsidRPr="00ED19E6" w:rsidRDefault="00ED19E6" w:rsidP="00ED19E6">
            <w:pPr>
              <w:widowControl/>
              <w:autoSpaceDE/>
              <w:autoSpaceDN/>
              <w:jc w:val="center"/>
              <w:rPr>
                <w:rFonts w:ascii="Arial" w:hAnsi="Arial" w:cs="Arial"/>
                <w:b/>
                <w:bCs/>
                <w:sz w:val="20"/>
                <w:szCs w:val="20"/>
                <w:lang w:val="et-EE" w:eastAsia="et-EE"/>
              </w:rPr>
            </w:pPr>
            <w:r w:rsidRPr="00ED19E6">
              <w:rPr>
                <w:rFonts w:ascii="Arial" w:hAnsi="Arial" w:cs="Arial"/>
                <w:b/>
                <w:bCs/>
                <w:sz w:val="20"/>
                <w:szCs w:val="20"/>
                <w:lang w:val="et-EE" w:eastAsia="et-EE"/>
              </w:rPr>
              <w:t xml:space="preserve">2022 eelarve  </w:t>
            </w:r>
          </w:p>
        </w:tc>
        <w:tc>
          <w:tcPr>
            <w:tcW w:w="1181" w:type="dxa"/>
            <w:tcBorders>
              <w:top w:val="single" w:sz="8" w:space="0" w:color="auto"/>
              <w:left w:val="nil"/>
              <w:bottom w:val="single" w:sz="8" w:space="0" w:color="auto"/>
              <w:right w:val="single" w:sz="8" w:space="0" w:color="auto"/>
            </w:tcBorders>
            <w:shd w:val="clear" w:color="000000" w:fill="CCFFCC"/>
            <w:vAlign w:val="bottom"/>
            <w:hideMark/>
          </w:tcPr>
          <w:p w:rsidR="00ED19E6" w:rsidRPr="00ED19E6" w:rsidRDefault="00ED19E6" w:rsidP="00ED19E6">
            <w:pPr>
              <w:widowControl/>
              <w:autoSpaceDE/>
              <w:autoSpaceDN/>
              <w:jc w:val="center"/>
              <w:rPr>
                <w:rFonts w:ascii="Arial" w:hAnsi="Arial" w:cs="Arial"/>
                <w:b/>
                <w:bCs/>
                <w:sz w:val="20"/>
                <w:szCs w:val="20"/>
                <w:lang w:val="et-EE" w:eastAsia="et-EE"/>
              </w:rPr>
            </w:pPr>
            <w:r w:rsidRPr="00ED19E6">
              <w:rPr>
                <w:rFonts w:ascii="Arial" w:hAnsi="Arial" w:cs="Arial"/>
                <w:b/>
                <w:bCs/>
                <w:sz w:val="20"/>
                <w:szCs w:val="20"/>
                <w:lang w:val="et-EE" w:eastAsia="et-EE"/>
              </w:rPr>
              <w:t xml:space="preserve">2023 eelarve  </w:t>
            </w:r>
          </w:p>
        </w:tc>
      </w:tr>
      <w:tr w:rsidR="005F3474" w:rsidRPr="00ED19E6" w:rsidTr="00FA1C99">
        <w:trPr>
          <w:trHeight w:val="144"/>
        </w:trPr>
        <w:tc>
          <w:tcPr>
            <w:tcW w:w="397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F3474" w:rsidRPr="00ED19E6" w:rsidRDefault="005F3474" w:rsidP="005F3474">
            <w:pPr>
              <w:widowControl/>
              <w:autoSpaceDE/>
              <w:autoSpaceDN/>
              <w:rPr>
                <w:rFonts w:ascii="Arial" w:hAnsi="Arial" w:cs="Arial"/>
                <w:b/>
                <w:bCs/>
                <w:sz w:val="20"/>
                <w:szCs w:val="20"/>
                <w:lang w:val="et-EE" w:eastAsia="et-EE"/>
              </w:rPr>
            </w:pPr>
            <w:r w:rsidRPr="00ED19E6">
              <w:rPr>
                <w:rFonts w:ascii="Arial" w:hAnsi="Arial" w:cs="Arial"/>
                <w:b/>
                <w:bCs/>
                <w:sz w:val="20"/>
                <w:szCs w:val="20"/>
                <w:lang w:val="et-EE" w:eastAsia="et-EE"/>
              </w:rPr>
              <w:t>Netovõlakoormus (</w:t>
            </w:r>
            <w:r w:rsidRPr="00ED19E6">
              <w:rPr>
                <w:rFonts w:ascii="Arial" w:hAnsi="Arial" w:cs="Arial"/>
                <w:b/>
                <w:bCs/>
                <w:sz w:val="20"/>
                <w:szCs w:val="20"/>
                <w:u w:val="single"/>
                <w:lang w:val="et-EE" w:eastAsia="et-EE"/>
              </w:rPr>
              <w:t>eurodes</w:t>
            </w:r>
            <w:r w:rsidRPr="00ED19E6">
              <w:rPr>
                <w:rFonts w:ascii="Arial" w:hAnsi="Arial" w:cs="Arial"/>
                <w:b/>
                <w:bCs/>
                <w:sz w:val="20"/>
                <w:szCs w:val="20"/>
                <w:lang w:val="et-EE" w:eastAsia="et-EE"/>
              </w:rPr>
              <w:t>)</w:t>
            </w:r>
          </w:p>
        </w:tc>
        <w:tc>
          <w:tcPr>
            <w:tcW w:w="1369" w:type="dxa"/>
            <w:tcBorders>
              <w:top w:val="single" w:sz="4" w:space="0" w:color="auto"/>
              <w:left w:val="single" w:sz="4" w:space="0" w:color="auto"/>
              <w:bottom w:val="single" w:sz="4" w:space="0" w:color="auto"/>
              <w:right w:val="nil"/>
            </w:tcBorders>
            <w:shd w:val="clear" w:color="000000" w:fill="C0C0C0"/>
            <w:vAlign w:val="bottom"/>
            <w:hideMark/>
          </w:tcPr>
          <w:p w:rsidR="005F3474" w:rsidRDefault="005F3474" w:rsidP="005F3474">
            <w:pPr>
              <w:jc w:val="right"/>
              <w:rPr>
                <w:rFonts w:ascii="Arial" w:hAnsi="Arial" w:cs="Arial"/>
                <w:sz w:val="20"/>
                <w:szCs w:val="20"/>
                <w:lang w:val="et-EE" w:eastAsia="et-EE"/>
              </w:rPr>
            </w:pPr>
            <w:r>
              <w:rPr>
                <w:rFonts w:ascii="Arial" w:hAnsi="Arial" w:cs="Arial"/>
                <w:sz w:val="20"/>
                <w:szCs w:val="20"/>
              </w:rPr>
              <w:t>2 889 840</w:t>
            </w:r>
          </w:p>
        </w:tc>
        <w:tc>
          <w:tcPr>
            <w:tcW w:w="1267" w:type="dxa"/>
            <w:tcBorders>
              <w:top w:val="nil"/>
              <w:left w:val="single" w:sz="4" w:space="0" w:color="auto"/>
              <w:bottom w:val="single" w:sz="4" w:space="0" w:color="auto"/>
              <w:right w:val="nil"/>
            </w:tcBorders>
            <w:shd w:val="clear" w:color="000000" w:fill="C0C0C0"/>
            <w:vAlign w:val="bottom"/>
            <w:hideMark/>
          </w:tcPr>
          <w:p w:rsidR="005F3474" w:rsidRDefault="005F3474" w:rsidP="005F3474">
            <w:pPr>
              <w:jc w:val="right"/>
              <w:rPr>
                <w:rFonts w:ascii="Arial" w:hAnsi="Arial" w:cs="Arial"/>
                <w:sz w:val="20"/>
                <w:szCs w:val="20"/>
              </w:rPr>
            </w:pPr>
            <w:r>
              <w:rPr>
                <w:rFonts w:ascii="Arial" w:hAnsi="Arial" w:cs="Arial"/>
                <w:sz w:val="20"/>
                <w:szCs w:val="20"/>
              </w:rPr>
              <w:t>4 502 696</w:t>
            </w:r>
          </w:p>
        </w:tc>
        <w:tc>
          <w:tcPr>
            <w:tcW w:w="1267" w:type="dxa"/>
            <w:tcBorders>
              <w:top w:val="nil"/>
              <w:left w:val="single" w:sz="4" w:space="0" w:color="auto"/>
              <w:bottom w:val="single" w:sz="4" w:space="0" w:color="auto"/>
              <w:right w:val="nil"/>
            </w:tcBorders>
            <w:shd w:val="clear" w:color="000000" w:fill="C0C0C0"/>
            <w:vAlign w:val="bottom"/>
            <w:hideMark/>
          </w:tcPr>
          <w:p w:rsidR="005F3474" w:rsidRDefault="005F3474" w:rsidP="005F3474">
            <w:pPr>
              <w:jc w:val="right"/>
              <w:rPr>
                <w:rFonts w:ascii="Arial" w:hAnsi="Arial" w:cs="Arial"/>
                <w:sz w:val="20"/>
                <w:szCs w:val="20"/>
              </w:rPr>
            </w:pPr>
            <w:r>
              <w:rPr>
                <w:rFonts w:ascii="Arial" w:hAnsi="Arial" w:cs="Arial"/>
                <w:sz w:val="20"/>
                <w:szCs w:val="20"/>
              </w:rPr>
              <w:t>5 197 514</w:t>
            </w:r>
          </w:p>
        </w:tc>
        <w:tc>
          <w:tcPr>
            <w:tcW w:w="1164" w:type="dxa"/>
            <w:tcBorders>
              <w:top w:val="nil"/>
              <w:left w:val="single" w:sz="4" w:space="0" w:color="auto"/>
              <w:bottom w:val="single" w:sz="4" w:space="0" w:color="auto"/>
              <w:right w:val="nil"/>
            </w:tcBorders>
            <w:shd w:val="clear" w:color="000000" w:fill="C0C0C0"/>
            <w:vAlign w:val="bottom"/>
            <w:hideMark/>
          </w:tcPr>
          <w:p w:rsidR="005F3474" w:rsidRDefault="005F3474" w:rsidP="005F3474">
            <w:pPr>
              <w:jc w:val="right"/>
              <w:rPr>
                <w:rFonts w:ascii="Arial" w:hAnsi="Arial" w:cs="Arial"/>
                <w:sz w:val="20"/>
                <w:szCs w:val="20"/>
              </w:rPr>
            </w:pPr>
            <w:r>
              <w:rPr>
                <w:rFonts w:ascii="Arial" w:hAnsi="Arial" w:cs="Arial"/>
                <w:sz w:val="20"/>
                <w:szCs w:val="20"/>
              </w:rPr>
              <w:t>4 792 680</w:t>
            </w:r>
          </w:p>
        </w:tc>
        <w:tc>
          <w:tcPr>
            <w:tcW w:w="1181" w:type="dxa"/>
            <w:tcBorders>
              <w:top w:val="single" w:sz="4" w:space="0" w:color="auto"/>
              <w:left w:val="single" w:sz="4" w:space="0" w:color="auto"/>
              <w:bottom w:val="single" w:sz="4" w:space="0" w:color="auto"/>
              <w:right w:val="single" w:sz="8" w:space="0" w:color="auto"/>
            </w:tcBorders>
            <w:shd w:val="clear" w:color="000000" w:fill="C0C0C0"/>
            <w:vAlign w:val="bottom"/>
            <w:hideMark/>
          </w:tcPr>
          <w:p w:rsidR="005F3474" w:rsidRDefault="005F3474" w:rsidP="005F3474">
            <w:pPr>
              <w:jc w:val="right"/>
              <w:rPr>
                <w:rFonts w:ascii="Arial" w:hAnsi="Arial" w:cs="Arial"/>
                <w:sz w:val="20"/>
                <w:szCs w:val="20"/>
              </w:rPr>
            </w:pPr>
            <w:r>
              <w:rPr>
                <w:rFonts w:ascii="Arial" w:hAnsi="Arial" w:cs="Arial"/>
                <w:sz w:val="20"/>
                <w:szCs w:val="20"/>
              </w:rPr>
              <w:t>4 335 836</w:t>
            </w:r>
          </w:p>
        </w:tc>
      </w:tr>
      <w:tr w:rsidR="005F3474" w:rsidRPr="00ED19E6" w:rsidTr="00FA1C99">
        <w:trPr>
          <w:trHeight w:val="144"/>
        </w:trPr>
        <w:tc>
          <w:tcPr>
            <w:tcW w:w="3972" w:type="dxa"/>
            <w:tcBorders>
              <w:top w:val="nil"/>
              <w:left w:val="single" w:sz="8" w:space="0" w:color="auto"/>
              <w:bottom w:val="single" w:sz="4" w:space="0" w:color="auto"/>
              <w:right w:val="single" w:sz="4" w:space="0" w:color="auto"/>
            </w:tcBorders>
            <w:shd w:val="clear" w:color="auto" w:fill="auto"/>
            <w:vAlign w:val="bottom"/>
            <w:hideMark/>
          </w:tcPr>
          <w:p w:rsidR="005F3474" w:rsidRPr="00ED19E6" w:rsidRDefault="005F3474" w:rsidP="005F3474">
            <w:pPr>
              <w:widowControl/>
              <w:autoSpaceDE/>
              <w:autoSpaceDN/>
              <w:rPr>
                <w:rFonts w:ascii="Arial" w:hAnsi="Arial" w:cs="Arial"/>
                <w:b/>
                <w:bCs/>
                <w:sz w:val="20"/>
                <w:szCs w:val="20"/>
                <w:lang w:val="et-EE" w:eastAsia="et-EE"/>
              </w:rPr>
            </w:pPr>
            <w:r w:rsidRPr="00ED19E6">
              <w:rPr>
                <w:rFonts w:ascii="Arial" w:hAnsi="Arial" w:cs="Arial"/>
                <w:b/>
                <w:bCs/>
                <w:sz w:val="20"/>
                <w:szCs w:val="20"/>
                <w:lang w:val="et-EE" w:eastAsia="et-EE"/>
              </w:rPr>
              <w:t>Netovõlakoormus (</w:t>
            </w:r>
            <w:r w:rsidRPr="00ED19E6">
              <w:rPr>
                <w:rFonts w:ascii="Arial" w:hAnsi="Arial" w:cs="Arial"/>
                <w:b/>
                <w:bCs/>
                <w:sz w:val="20"/>
                <w:szCs w:val="20"/>
                <w:u w:val="single"/>
                <w:lang w:val="et-EE" w:eastAsia="et-EE"/>
              </w:rPr>
              <w:t>%</w:t>
            </w:r>
            <w:r w:rsidRPr="00ED19E6">
              <w:rPr>
                <w:rFonts w:ascii="Arial" w:hAnsi="Arial" w:cs="Arial"/>
                <w:b/>
                <w:bCs/>
                <w:sz w:val="20"/>
                <w:szCs w:val="20"/>
                <w:lang w:val="et-EE" w:eastAsia="et-EE"/>
              </w:rPr>
              <w:t>)</w:t>
            </w:r>
          </w:p>
        </w:tc>
        <w:tc>
          <w:tcPr>
            <w:tcW w:w="1369" w:type="dxa"/>
            <w:tcBorders>
              <w:top w:val="nil"/>
              <w:left w:val="single" w:sz="4" w:space="0" w:color="auto"/>
              <w:bottom w:val="single" w:sz="4" w:space="0" w:color="auto"/>
              <w:right w:val="single" w:sz="4" w:space="0" w:color="auto"/>
            </w:tcBorders>
            <w:shd w:val="clear" w:color="000000" w:fill="C0C0C0"/>
            <w:vAlign w:val="bottom"/>
            <w:hideMark/>
          </w:tcPr>
          <w:p w:rsidR="005F3474" w:rsidRDefault="005F3474" w:rsidP="005F3474">
            <w:pPr>
              <w:jc w:val="right"/>
              <w:rPr>
                <w:rFonts w:ascii="Arial" w:hAnsi="Arial" w:cs="Arial"/>
                <w:sz w:val="16"/>
                <w:szCs w:val="16"/>
              </w:rPr>
            </w:pPr>
            <w:r>
              <w:rPr>
                <w:rFonts w:ascii="Arial" w:hAnsi="Arial" w:cs="Arial"/>
                <w:sz w:val="16"/>
                <w:szCs w:val="16"/>
              </w:rPr>
              <w:t>25,9%</w:t>
            </w:r>
          </w:p>
        </w:tc>
        <w:tc>
          <w:tcPr>
            <w:tcW w:w="1267" w:type="dxa"/>
            <w:tcBorders>
              <w:top w:val="nil"/>
              <w:left w:val="nil"/>
              <w:bottom w:val="single" w:sz="4" w:space="0" w:color="auto"/>
              <w:right w:val="single" w:sz="4" w:space="0" w:color="auto"/>
            </w:tcBorders>
            <w:shd w:val="clear" w:color="000000" w:fill="C0C0C0"/>
            <w:vAlign w:val="bottom"/>
            <w:hideMark/>
          </w:tcPr>
          <w:p w:rsidR="005F3474" w:rsidRDefault="005F3474" w:rsidP="005F3474">
            <w:pPr>
              <w:jc w:val="right"/>
              <w:rPr>
                <w:rFonts w:ascii="Arial" w:hAnsi="Arial" w:cs="Arial"/>
                <w:sz w:val="16"/>
                <w:szCs w:val="16"/>
              </w:rPr>
            </w:pPr>
            <w:r>
              <w:rPr>
                <w:rFonts w:ascii="Arial" w:hAnsi="Arial" w:cs="Arial"/>
                <w:sz w:val="16"/>
                <w:szCs w:val="16"/>
              </w:rPr>
              <w:t>37,9%</w:t>
            </w:r>
          </w:p>
        </w:tc>
        <w:tc>
          <w:tcPr>
            <w:tcW w:w="1267" w:type="dxa"/>
            <w:tcBorders>
              <w:top w:val="nil"/>
              <w:left w:val="nil"/>
              <w:bottom w:val="single" w:sz="4" w:space="0" w:color="auto"/>
              <w:right w:val="single" w:sz="4" w:space="0" w:color="auto"/>
            </w:tcBorders>
            <w:shd w:val="clear" w:color="000000" w:fill="C0C0C0"/>
            <w:vAlign w:val="bottom"/>
            <w:hideMark/>
          </w:tcPr>
          <w:p w:rsidR="005F3474" w:rsidRDefault="005F3474" w:rsidP="005F3474">
            <w:pPr>
              <w:jc w:val="right"/>
              <w:rPr>
                <w:rFonts w:ascii="Arial" w:hAnsi="Arial" w:cs="Arial"/>
                <w:sz w:val="16"/>
                <w:szCs w:val="16"/>
              </w:rPr>
            </w:pPr>
            <w:r>
              <w:rPr>
                <w:rFonts w:ascii="Arial" w:hAnsi="Arial" w:cs="Arial"/>
                <w:sz w:val="16"/>
                <w:szCs w:val="16"/>
              </w:rPr>
              <w:t>42,3%</w:t>
            </w:r>
          </w:p>
        </w:tc>
        <w:tc>
          <w:tcPr>
            <w:tcW w:w="1164" w:type="dxa"/>
            <w:tcBorders>
              <w:top w:val="nil"/>
              <w:left w:val="nil"/>
              <w:bottom w:val="single" w:sz="4" w:space="0" w:color="auto"/>
              <w:right w:val="single" w:sz="4" w:space="0" w:color="auto"/>
            </w:tcBorders>
            <w:shd w:val="clear" w:color="000000" w:fill="C0C0C0"/>
            <w:vAlign w:val="bottom"/>
            <w:hideMark/>
          </w:tcPr>
          <w:p w:rsidR="005F3474" w:rsidRDefault="005F3474" w:rsidP="005F3474">
            <w:pPr>
              <w:jc w:val="right"/>
              <w:rPr>
                <w:rFonts w:ascii="Arial" w:hAnsi="Arial" w:cs="Arial"/>
                <w:sz w:val="16"/>
                <w:szCs w:val="16"/>
              </w:rPr>
            </w:pPr>
            <w:r>
              <w:rPr>
                <w:rFonts w:ascii="Arial" w:hAnsi="Arial" w:cs="Arial"/>
                <w:sz w:val="16"/>
                <w:szCs w:val="16"/>
              </w:rPr>
              <w:t>37,7%</w:t>
            </w:r>
          </w:p>
        </w:tc>
        <w:tc>
          <w:tcPr>
            <w:tcW w:w="1181" w:type="dxa"/>
            <w:tcBorders>
              <w:top w:val="nil"/>
              <w:left w:val="nil"/>
              <w:bottom w:val="single" w:sz="4" w:space="0" w:color="auto"/>
              <w:right w:val="single" w:sz="8" w:space="0" w:color="auto"/>
            </w:tcBorders>
            <w:shd w:val="clear" w:color="000000" w:fill="C0C0C0"/>
            <w:vAlign w:val="bottom"/>
            <w:hideMark/>
          </w:tcPr>
          <w:p w:rsidR="005F3474" w:rsidRDefault="005F3474" w:rsidP="005F3474">
            <w:pPr>
              <w:jc w:val="right"/>
              <w:rPr>
                <w:rFonts w:ascii="Arial" w:hAnsi="Arial" w:cs="Arial"/>
                <w:sz w:val="16"/>
                <w:szCs w:val="16"/>
              </w:rPr>
            </w:pPr>
            <w:r>
              <w:rPr>
                <w:rFonts w:ascii="Arial" w:hAnsi="Arial" w:cs="Arial"/>
                <w:sz w:val="16"/>
                <w:szCs w:val="16"/>
              </w:rPr>
              <w:t>33,0%</w:t>
            </w:r>
          </w:p>
        </w:tc>
      </w:tr>
      <w:tr w:rsidR="005F3474" w:rsidRPr="00ED19E6" w:rsidTr="00FA1C99">
        <w:trPr>
          <w:trHeight w:val="144"/>
        </w:trPr>
        <w:tc>
          <w:tcPr>
            <w:tcW w:w="3972" w:type="dxa"/>
            <w:tcBorders>
              <w:top w:val="nil"/>
              <w:left w:val="single" w:sz="8" w:space="0" w:color="auto"/>
              <w:bottom w:val="single" w:sz="4" w:space="0" w:color="auto"/>
              <w:right w:val="single" w:sz="4" w:space="0" w:color="auto"/>
            </w:tcBorders>
            <w:shd w:val="clear" w:color="auto" w:fill="auto"/>
            <w:vAlign w:val="bottom"/>
            <w:hideMark/>
          </w:tcPr>
          <w:p w:rsidR="005F3474" w:rsidRPr="00ED19E6" w:rsidRDefault="005F3474" w:rsidP="005F3474">
            <w:pPr>
              <w:widowControl/>
              <w:autoSpaceDE/>
              <w:autoSpaceDN/>
              <w:rPr>
                <w:rFonts w:ascii="Arial" w:hAnsi="Arial" w:cs="Arial"/>
                <w:b/>
                <w:bCs/>
                <w:sz w:val="20"/>
                <w:szCs w:val="20"/>
                <w:lang w:val="et-EE" w:eastAsia="et-EE"/>
              </w:rPr>
            </w:pPr>
            <w:r w:rsidRPr="00ED19E6">
              <w:rPr>
                <w:rFonts w:ascii="Arial" w:hAnsi="Arial" w:cs="Arial"/>
                <w:b/>
                <w:bCs/>
                <w:sz w:val="20"/>
                <w:szCs w:val="20"/>
                <w:lang w:val="et-EE" w:eastAsia="et-EE"/>
              </w:rPr>
              <w:t>Netovõlakoormuse ülemmäär (</w:t>
            </w:r>
            <w:r w:rsidRPr="00ED19E6">
              <w:rPr>
                <w:rFonts w:ascii="Arial" w:hAnsi="Arial" w:cs="Arial"/>
                <w:b/>
                <w:bCs/>
                <w:sz w:val="20"/>
                <w:szCs w:val="20"/>
                <w:u w:val="single"/>
                <w:lang w:val="et-EE" w:eastAsia="et-EE"/>
              </w:rPr>
              <w:t>eurodes</w:t>
            </w:r>
            <w:r w:rsidRPr="00ED19E6">
              <w:rPr>
                <w:rFonts w:ascii="Arial" w:hAnsi="Arial" w:cs="Arial"/>
                <w:b/>
                <w:bCs/>
                <w:sz w:val="20"/>
                <w:szCs w:val="20"/>
                <w:lang w:val="et-EE" w:eastAsia="et-EE"/>
              </w:rPr>
              <w:t>)</w:t>
            </w:r>
          </w:p>
        </w:tc>
        <w:tc>
          <w:tcPr>
            <w:tcW w:w="1369" w:type="dxa"/>
            <w:tcBorders>
              <w:top w:val="nil"/>
              <w:left w:val="single" w:sz="4" w:space="0" w:color="auto"/>
              <w:bottom w:val="single" w:sz="4" w:space="0" w:color="auto"/>
              <w:right w:val="nil"/>
            </w:tcBorders>
            <w:shd w:val="clear" w:color="000000" w:fill="C0C0C0"/>
            <w:vAlign w:val="bottom"/>
            <w:hideMark/>
          </w:tcPr>
          <w:p w:rsidR="005F3474" w:rsidRDefault="005F3474" w:rsidP="005F3474">
            <w:pPr>
              <w:jc w:val="right"/>
              <w:rPr>
                <w:rFonts w:ascii="Arial" w:hAnsi="Arial" w:cs="Arial"/>
                <w:sz w:val="20"/>
                <w:szCs w:val="20"/>
              </w:rPr>
            </w:pPr>
            <w:r>
              <w:rPr>
                <w:rFonts w:ascii="Arial" w:hAnsi="Arial" w:cs="Arial"/>
                <w:sz w:val="20"/>
                <w:szCs w:val="20"/>
              </w:rPr>
              <w:t>6 698 299</w:t>
            </w:r>
          </w:p>
        </w:tc>
        <w:tc>
          <w:tcPr>
            <w:tcW w:w="1267" w:type="dxa"/>
            <w:tcBorders>
              <w:top w:val="nil"/>
              <w:left w:val="single" w:sz="4" w:space="0" w:color="auto"/>
              <w:bottom w:val="single" w:sz="4" w:space="0" w:color="auto"/>
              <w:right w:val="nil"/>
            </w:tcBorders>
            <w:shd w:val="clear" w:color="000000" w:fill="C0C0C0"/>
            <w:vAlign w:val="bottom"/>
            <w:hideMark/>
          </w:tcPr>
          <w:p w:rsidR="005F3474" w:rsidRDefault="005F3474" w:rsidP="005F3474">
            <w:pPr>
              <w:jc w:val="right"/>
              <w:rPr>
                <w:rFonts w:ascii="Arial" w:hAnsi="Arial" w:cs="Arial"/>
                <w:sz w:val="20"/>
                <w:szCs w:val="20"/>
              </w:rPr>
            </w:pPr>
            <w:r>
              <w:rPr>
                <w:rFonts w:ascii="Arial" w:hAnsi="Arial" w:cs="Arial"/>
                <w:sz w:val="20"/>
                <w:szCs w:val="20"/>
              </w:rPr>
              <w:t>7 132 715</w:t>
            </w:r>
          </w:p>
        </w:tc>
        <w:tc>
          <w:tcPr>
            <w:tcW w:w="1267" w:type="dxa"/>
            <w:tcBorders>
              <w:top w:val="nil"/>
              <w:left w:val="single" w:sz="4" w:space="0" w:color="auto"/>
              <w:bottom w:val="single" w:sz="4" w:space="0" w:color="auto"/>
              <w:right w:val="nil"/>
            </w:tcBorders>
            <w:shd w:val="clear" w:color="000000" w:fill="C0C0C0"/>
            <w:vAlign w:val="bottom"/>
            <w:hideMark/>
          </w:tcPr>
          <w:p w:rsidR="005F3474" w:rsidRDefault="005F3474" w:rsidP="005F3474">
            <w:pPr>
              <w:jc w:val="right"/>
              <w:rPr>
                <w:rFonts w:ascii="Arial" w:hAnsi="Arial" w:cs="Arial"/>
                <w:sz w:val="20"/>
                <w:szCs w:val="20"/>
              </w:rPr>
            </w:pPr>
            <w:r>
              <w:rPr>
                <w:rFonts w:ascii="Arial" w:hAnsi="Arial" w:cs="Arial"/>
                <w:sz w:val="20"/>
                <w:szCs w:val="20"/>
              </w:rPr>
              <w:t>7 377 127</w:t>
            </w:r>
          </w:p>
        </w:tc>
        <w:tc>
          <w:tcPr>
            <w:tcW w:w="1164" w:type="dxa"/>
            <w:tcBorders>
              <w:top w:val="nil"/>
              <w:left w:val="single" w:sz="4" w:space="0" w:color="auto"/>
              <w:bottom w:val="single" w:sz="4" w:space="0" w:color="auto"/>
              <w:right w:val="nil"/>
            </w:tcBorders>
            <w:shd w:val="clear" w:color="000000" w:fill="C0C0C0"/>
            <w:vAlign w:val="bottom"/>
            <w:hideMark/>
          </w:tcPr>
          <w:p w:rsidR="005F3474" w:rsidRDefault="005F3474" w:rsidP="005F3474">
            <w:pPr>
              <w:jc w:val="right"/>
              <w:rPr>
                <w:rFonts w:ascii="Arial" w:hAnsi="Arial" w:cs="Arial"/>
                <w:sz w:val="20"/>
                <w:szCs w:val="20"/>
              </w:rPr>
            </w:pPr>
            <w:r>
              <w:rPr>
                <w:rFonts w:ascii="Arial" w:hAnsi="Arial" w:cs="Arial"/>
                <w:sz w:val="20"/>
                <w:szCs w:val="20"/>
              </w:rPr>
              <w:t>7 630 948</w:t>
            </w:r>
          </w:p>
        </w:tc>
        <w:tc>
          <w:tcPr>
            <w:tcW w:w="1181" w:type="dxa"/>
            <w:tcBorders>
              <w:top w:val="nil"/>
              <w:left w:val="single" w:sz="4" w:space="0" w:color="auto"/>
              <w:bottom w:val="single" w:sz="4" w:space="0" w:color="auto"/>
              <w:right w:val="single" w:sz="8" w:space="0" w:color="auto"/>
            </w:tcBorders>
            <w:shd w:val="clear" w:color="000000" w:fill="C0C0C0"/>
            <w:vAlign w:val="bottom"/>
            <w:hideMark/>
          </w:tcPr>
          <w:p w:rsidR="005F3474" w:rsidRDefault="005F3474" w:rsidP="005F3474">
            <w:pPr>
              <w:jc w:val="right"/>
              <w:rPr>
                <w:rFonts w:ascii="Arial" w:hAnsi="Arial" w:cs="Arial"/>
                <w:sz w:val="20"/>
                <w:szCs w:val="20"/>
              </w:rPr>
            </w:pPr>
            <w:r>
              <w:rPr>
                <w:rFonts w:ascii="Arial" w:hAnsi="Arial" w:cs="Arial"/>
                <w:sz w:val="20"/>
                <w:szCs w:val="20"/>
              </w:rPr>
              <w:t>7 894 546</w:t>
            </w:r>
          </w:p>
        </w:tc>
      </w:tr>
      <w:tr w:rsidR="005F3474" w:rsidRPr="00ED19E6" w:rsidTr="00FA1C99">
        <w:trPr>
          <w:trHeight w:val="152"/>
        </w:trPr>
        <w:tc>
          <w:tcPr>
            <w:tcW w:w="3972" w:type="dxa"/>
            <w:tcBorders>
              <w:top w:val="nil"/>
              <w:left w:val="single" w:sz="8" w:space="0" w:color="auto"/>
              <w:bottom w:val="single" w:sz="4" w:space="0" w:color="auto"/>
              <w:right w:val="single" w:sz="4" w:space="0" w:color="auto"/>
            </w:tcBorders>
            <w:shd w:val="clear" w:color="auto" w:fill="auto"/>
            <w:vAlign w:val="bottom"/>
            <w:hideMark/>
          </w:tcPr>
          <w:p w:rsidR="005F3474" w:rsidRPr="00ED19E6" w:rsidRDefault="005F3474" w:rsidP="005F3474">
            <w:pPr>
              <w:widowControl/>
              <w:autoSpaceDE/>
              <w:autoSpaceDN/>
              <w:rPr>
                <w:rFonts w:ascii="Arial" w:hAnsi="Arial" w:cs="Arial"/>
                <w:b/>
                <w:bCs/>
                <w:sz w:val="20"/>
                <w:szCs w:val="20"/>
                <w:lang w:val="et-EE" w:eastAsia="et-EE"/>
              </w:rPr>
            </w:pPr>
            <w:r w:rsidRPr="00ED19E6">
              <w:rPr>
                <w:rFonts w:ascii="Arial" w:hAnsi="Arial" w:cs="Arial"/>
                <w:b/>
                <w:bCs/>
                <w:sz w:val="20"/>
                <w:szCs w:val="20"/>
                <w:lang w:val="et-EE" w:eastAsia="et-EE"/>
              </w:rPr>
              <w:t>Netovõlakoormuse individuaalne ülemmäär (</w:t>
            </w:r>
            <w:r w:rsidRPr="00ED19E6">
              <w:rPr>
                <w:rFonts w:ascii="Arial" w:hAnsi="Arial" w:cs="Arial"/>
                <w:b/>
                <w:bCs/>
                <w:sz w:val="20"/>
                <w:szCs w:val="20"/>
                <w:u w:val="single"/>
                <w:lang w:val="et-EE" w:eastAsia="et-EE"/>
              </w:rPr>
              <w:t>%</w:t>
            </w:r>
            <w:r w:rsidRPr="00ED19E6">
              <w:rPr>
                <w:rFonts w:ascii="Arial" w:hAnsi="Arial" w:cs="Arial"/>
                <w:b/>
                <w:bCs/>
                <w:sz w:val="20"/>
                <w:szCs w:val="20"/>
                <w:lang w:val="et-EE" w:eastAsia="et-EE"/>
              </w:rPr>
              <w:t>)</w:t>
            </w:r>
          </w:p>
        </w:tc>
        <w:tc>
          <w:tcPr>
            <w:tcW w:w="1369" w:type="dxa"/>
            <w:tcBorders>
              <w:top w:val="nil"/>
              <w:left w:val="nil"/>
              <w:bottom w:val="single" w:sz="4" w:space="0" w:color="auto"/>
              <w:right w:val="single" w:sz="4" w:space="0" w:color="auto"/>
            </w:tcBorders>
            <w:shd w:val="clear" w:color="000000" w:fill="C0C0C0"/>
            <w:vAlign w:val="bottom"/>
            <w:hideMark/>
          </w:tcPr>
          <w:p w:rsidR="005F3474" w:rsidRDefault="005F3474" w:rsidP="005F3474">
            <w:pPr>
              <w:jc w:val="right"/>
              <w:rPr>
                <w:rFonts w:ascii="Arial" w:hAnsi="Arial" w:cs="Arial"/>
                <w:sz w:val="16"/>
                <w:szCs w:val="16"/>
              </w:rPr>
            </w:pPr>
            <w:r>
              <w:rPr>
                <w:rFonts w:ascii="Arial" w:hAnsi="Arial" w:cs="Arial"/>
                <w:sz w:val="16"/>
                <w:szCs w:val="16"/>
              </w:rPr>
              <w:t>60,0%</w:t>
            </w:r>
          </w:p>
        </w:tc>
        <w:tc>
          <w:tcPr>
            <w:tcW w:w="1267" w:type="dxa"/>
            <w:tcBorders>
              <w:top w:val="nil"/>
              <w:left w:val="nil"/>
              <w:bottom w:val="single" w:sz="4" w:space="0" w:color="auto"/>
              <w:right w:val="single" w:sz="4" w:space="0" w:color="auto"/>
            </w:tcBorders>
            <w:shd w:val="clear" w:color="000000" w:fill="C0C0C0"/>
            <w:vAlign w:val="bottom"/>
            <w:hideMark/>
          </w:tcPr>
          <w:p w:rsidR="005F3474" w:rsidRDefault="005F3474" w:rsidP="005F3474">
            <w:pPr>
              <w:jc w:val="right"/>
              <w:rPr>
                <w:rFonts w:ascii="Arial" w:hAnsi="Arial" w:cs="Arial"/>
                <w:sz w:val="16"/>
                <w:szCs w:val="16"/>
              </w:rPr>
            </w:pPr>
            <w:r>
              <w:rPr>
                <w:rFonts w:ascii="Arial" w:hAnsi="Arial" w:cs="Arial"/>
                <w:sz w:val="16"/>
                <w:szCs w:val="16"/>
              </w:rPr>
              <w:t>60,0%</w:t>
            </w:r>
          </w:p>
        </w:tc>
        <w:tc>
          <w:tcPr>
            <w:tcW w:w="1267" w:type="dxa"/>
            <w:tcBorders>
              <w:top w:val="nil"/>
              <w:left w:val="nil"/>
              <w:bottom w:val="single" w:sz="4" w:space="0" w:color="auto"/>
              <w:right w:val="single" w:sz="4" w:space="0" w:color="auto"/>
            </w:tcBorders>
            <w:shd w:val="clear" w:color="000000" w:fill="C0C0C0"/>
            <w:vAlign w:val="bottom"/>
            <w:hideMark/>
          </w:tcPr>
          <w:p w:rsidR="005F3474" w:rsidRDefault="005F3474" w:rsidP="005F3474">
            <w:pPr>
              <w:jc w:val="right"/>
              <w:rPr>
                <w:rFonts w:ascii="Arial" w:hAnsi="Arial" w:cs="Arial"/>
                <w:sz w:val="16"/>
                <w:szCs w:val="16"/>
              </w:rPr>
            </w:pPr>
            <w:r>
              <w:rPr>
                <w:rFonts w:ascii="Arial" w:hAnsi="Arial" w:cs="Arial"/>
                <w:sz w:val="16"/>
                <w:szCs w:val="16"/>
              </w:rPr>
              <w:t>60,0%</w:t>
            </w:r>
          </w:p>
        </w:tc>
        <w:tc>
          <w:tcPr>
            <w:tcW w:w="1164" w:type="dxa"/>
            <w:tcBorders>
              <w:top w:val="nil"/>
              <w:left w:val="nil"/>
              <w:bottom w:val="single" w:sz="4" w:space="0" w:color="auto"/>
              <w:right w:val="single" w:sz="4" w:space="0" w:color="auto"/>
            </w:tcBorders>
            <w:shd w:val="clear" w:color="000000" w:fill="C0C0C0"/>
            <w:vAlign w:val="bottom"/>
            <w:hideMark/>
          </w:tcPr>
          <w:p w:rsidR="005F3474" w:rsidRDefault="005F3474" w:rsidP="005F3474">
            <w:pPr>
              <w:jc w:val="right"/>
              <w:rPr>
                <w:rFonts w:ascii="Arial" w:hAnsi="Arial" w:cs="Arial"/>
                <w:sz w:val="16"/>
                <w:szCs w:val="16"/>
              </w:rPr>
            </w:pPr>
            <w:r>
              <w:rPr>
                <w:rFonts w:ascii="Arial" w:hAnsi="Arial" w:cs="Arial"/>
                <w:sz w:val="16"/>
                <w:szCs w:val="16"/>
              </w:rPr>
              <w:t>60,0%</w:t>
            </w:r>
          </w:p>
        </w:tc>
        <w:tc>
          <w:tcPr>
            <w:tcW w:w="1181" w:type="dxa"/>
            <w:tcBorders>
              <w:top w:val="nil"/>
              <w:left w:val="nil"/>
              <w:bottom w:val="single" w:sz="4" w:space="0" w:color="auto"/>
              <w:right w:val="single" w:sz="8" w:space="0" w:color="auto"/>
            </w:tcBorders>
            <w:shd w:val="clear" w:color="000000" w:fill="C0C0C0"/>
            <w:vAlign w:val="bottom"/>
            <w:hideMark/>
          </w:tcPr>
          <w:p w:rsidR="005F3474" w:rsidRDefault="005F3474" w:rsidP="005F3474">
            <w:pPr>
              <w:jc w:val="right"/>
              <w:rPr>
                <w:rFonts w:ascii="Arial" w:hAnsi="Arial" w:cs="Arial"/>
                <w:sz w:val="16"/>
                <w:szCs w:val="16"/>
              </w:rPr>
            </w:pPr>
            <w:r>
              <w:rPr>
                <w:rFonts w:ascii="Arial" w:hAnsi="Arial" w:cs="Arial"/>
                <w:sz w:val="16"/>
                <w:szCs w:val="16"/>
              </w:rPr>
              <w:t>60,0%</w:t>
            </w:r>
          </w:p>
        </w:tc>
      </w:tr>
      <w:tr w:rsidR="005F3474" w:rsidRPr="00ED19E6" w:rsidTr="00FA1C99">
        <w:trPr>
          <w:trHeight w:val="144"/>
        </w:trPr>
        <w:tc>
          <w:tcPr>
            <w:tcW w:w="3972" w:type="dxa"/>
            <w:tcBorders>
              <w:top w:val="nil"/>
              <w:left w:val="single" w:sz="8" w:space="0" w:color="auto"/>
              <w:bottom w:val="single" w:sz="4" w:space="0" w:color="auto"/>
              <w:right w:val="single" w:sz="4" w:space="0" w:color="auto"/>
            </w:tcBorders>
            <w:shd w:val="clear" w:color="auto" w:fill="auto"/>
            <w:vAlign w:val="bottom"/>
            <w:hideMark/>
          </w:tcPr>
          <w:p w:rsidR="005F3474" w:rsidRPr="00ED19E6" w:rsidRDefault="005F3474" w:rsidP="005F3474">
            <w:pPr>
              <w:widowControl/>
              <w:autoSpaceDE/>
              <w:autoSpaceDN/>
              <w:rPr>
                <w:rFonts w:ascii="Arial" w:hAnsi="Arial" w:cs="Arial"/>
                <w:b/>
                <w:bCs/>
                <w:sz w:val="20"/>
                <w:szCs w:val="20"/>
                <w:lang w:val="et-EE" w:eastAsia="et-EE"/>
              </w:rPr>
            </w:pPr>
            <w:r w:rsidRPr="00ED19E6">
              <w:rPr>
                <w:rFonts w:ascii="Arial" w:hAnsi="Arial" w:cs="Arial"/>
                <w:b/>
                <w:bCs/>
                <w:sz w:val="20"/>
                <w:szCs w:val="20"/>
                <w:lang w:val="et-EE" w:eastAsia="et-EE"/>
              </w:rPr>
              <w:t>Vaba netovõlakoormus (eurodes)</w:t>
            </w:r>
          </w:p>
        </w:tc>
        <w:tc>
          <w:tcPr>
            <w:tcW w:w="1369" w:type="dxa"/>
            <w:tcBorders>
              <w:top w:val="nil"/>
              <w:left w:val="nil"/>
              <w:bottom w:val="single" w:sz="4" w:space="0" w:color="auto"/>
              <w:right w:val="single" w:sz="4" w:space="0" w:color="auto"/>
            </w:tcBorders>
            <w:shd w:val="clear" w:color="000000" w:fill="C0C0C0"/>
            <w:vAlign w:val="bottom"/>
            <w:hideMark/>
          </w:tcPr>
          <w:p w:rsidR="005F3474" w:rsidRDefault="005F3474" w:rsidP="005F3474">
            <w:pPr>
              <w:jc w:val="right"/>
              <w:rPr>
                <w:rFonts w:ascii="Arial" w:hAnsi="Arial" w:cs="Arial"/>
                <w:sz w:val="20"/>
                <w:szCs w:val="20"/>
              </w:rPr>
            </w:pPr>
            <w:r>
              <w:rPr>
                <w:rFonts w:ascii="Arial" w:hAnsi="Arial" w:cs="Arial"/>
                <w:sz w:val="20"/>
                <w:szCs w:val="20"/>
              </w:rPr>
              <w:t>3 808 459</w:t>
            </w:r>
          </w:p>
        </w:tc>
        <w:tc>
          <w:tcPr>
            <w:tcW w:w="1267" w:type="dxa"/>
            <w:tcBorders>
              <w:top w:val="nil"/>
              <w:left w:val="nil"/>
              <w:bottom w:val="single" w:sz="4" w:space="0" w:color="auto"/>
              <w:right w:val="single" w:sz="4" w:space="0" w:color="auto"/>
            </w:tcBorders>
            <w:shd w:val="clear" w:color="000000" w:fill="C0C0C0"/>
            <w:vAlign w:val="bottom"/>
            <w:hideMark/>
          </w:tcPr>
          <w:p w:rsidR="005F3474" w:rsidRDefault="005F3474" w:rsidP="005F3474">
            <w:pPr>
              <w:jc w:val="right"/>
              <w:rPr>
                <w:rFonts w:ascii="Arial" w:hAnsi="Arial" w:cs="Arial"/>
                <w:sz w:val="20"/>
                <w:szCs w:val="20"/>
              </w:rPr>
            </w:pPr>
            <w:r>
              <w:rPr>
                <w:rFonts w:ascii="Arial" w:hAnsi="Arial" w:cs="Arial"/>
                <w:sz w:val="20"/>
                <w:szCs w:val="20"/>
              </w:rPr>
              <w:t>2 630 018</w:t>
            </w:r>
          </w:p>
        </w:tc>
        <w:tc>
          <w:tcPr>
            <w:tcW w:w="1267" w:type="dxa"/>
            <w:tcBorders>
              <w:top w:val="nil"/>
              <w:left w:val="nil"/>
              <w:bottom w:val="single" w:sz="4" w:space="0" w:color="auto"/>
              <w:right w:val="single" w:sz="4" w:space="0" w:color="auto"/>
            </w:tcBorders>
            <w:shd w:val="clear" w:color="000000" w:fill="C0C0C0"/>
            <w:vAlign w:val="bottom"/>
            <w:hideMark/>
          </w:tcPr>
          <w:p w:rsidR="005F3474" w:rsidRDefault="005F3474" w:rsidP="005F3474">
            <w:pPr>
              <w:jc w:val="right"/>
              <w:rPr>
                <w:rFonts w:ascii="Arial" w:hAnsi="Arial" w:cs="Arial"/>
                <w:sz w:val="20"/>
                <w:szCs w:val="20"/>
              </w:rPr>
            </w:pPr>
            <w:r>
              <w:rPr>
                <w:rFonts w:ascii="Arial" w:hAnsi="Arial" w:cs="Arial"/>
                <w:sz w:val="20"/>
                <w:szCs w:val="20"/>
              </w:rPr>
              <w:t>2 179 613</w:t>
            </w:r>
          </w:p>
        </w:tc>
        <w:tc>
          <w:tcPr>
            <w:tcW w:w="1164" w:type="dxa"/>
            <w:tcBorders>
              <w:top w:val="nil"/>
              <w:left w:val="nil"/>
              <w:bottom w:val="single" w:sz="4" w:space="0" w:color="auto"/>
              <w:right w:val="single" w:sz="4" w:space="0" w:color="auto"/>
            </w:tcBorders>
            <w:shd w:val="clear" w:color="000000" w:fill="C0C0C0"/>
            <w:vAlign w:val="bottom"/>
            <w:hideMark/>
          </w:tcPr>
          <w:p w:rsidR="005F3474" w:rsidRDefault="005F3474" w:rsidP="005F3474">
            <w:pPr>
              <w:jc w:val="right"/>
              <w:rPr>
                <w:rFonts w:ascii="Arial" w:hAnsi="Arial" w:cs="Arial"/>
                <w:sz w:val="20"/>
                <w:szCs w:val="20"/>
              </w:rPr>
            </w:pPr>
            <w:r>
              <w:rPr>
                <w:rFonts w:ascii="Arial" w:hAnsi="Arial" w:cs="Arial"/>
                <w:sz w:val="20"/>
                <w:szCs w:val="20"/>
              </w:rPr>
              <w:t>2 838 268</w:t>
            </w:r>
          </w:p>
        </w:tc>
        <w:tc>
          <w:tcPr>
            <w:tcW w:w="1181" w:type="dxa"/>
            <w:tcBorders>
              <w:top w:val="nil"/>
              <w:left w:val="nil"/>
              <w:bottom w:val="single" w:sz="4" w:space="0" w:color="auto"/>
              <w:right w:val="single" w:sz="8" w:space="0" w:color="auto"/>
            </w:tcBorders>
            <w:shd w:val="clear" w:color="000000" w:fill="C0C0C0"/>
            <w:vAlign w:val="bottom"/>
            <w:hideMark/>
          </w:tcPr>
          <w:p w:rsidR="005F3474" w:rsidRDefault="005F3474" w:rsidP="005F3474">
            <w:pPr>
              <w:jc w:val="right"/>
              <w:rPr>
                <w:rFonts w:ascii="Arial" w:hAnsi="Arial" w:cs="Arial"/>
                <w:sz w:val="20"/>
                <w:szCs w:val="20"/>
              </w:rPr>
            </w:pPr>
            <w:r>
              <w:rPr>
                <w:rFonts w:ascii="Arial" w:hAnsi="Arial" w:cs="Arial"/>
                <w:sz w:val="20"/>
                <w:szCs w:val="20"/>
              </w:rPr>
              <w:t>3 558 710</w:t>
            </w:r>
          </w:p>
        </w:tc>
      </w:tr>
    </w:tbl>
    <w:p w:rsidR="001867ED" w:rsidRDefault="001867ED" w:rsidP="00326510">
      <w:pPr>
        <w:jc w:val="both"/>
        <w:rPr>
          <w:sz w:val="24"/>
          <w:szCs w:val="24"/>
        </w:rPr>
      </w:pPr>
    </w:p>
    <w:p w:rsidR="00FD2672" w:rsidRDefault="00FD2672" w:rsidP="00326510">
      <w:pPr>
        <w:jc w:val="both"/>
        <w:rPr>
          <w:sz w:val="24"/>
          <w:szCs w:val="24"/>
        </w:rPr>
      </w:pPr>
      <w:r>
        <w:rPr>
          <w:sz w:val="24"/>
          <w:szCs w:val="24"/>
        </w:rPr>
        <w:t xml:space="preserve">Vinni valla netovõlakoormus 2018. </w:t>
      </w:r>
      <w:r w:rsidR="006A1602">
        <w:rPr>
          <w:sz w:val="24"/>
          <w:szCs w:val="24"/>
        </w:rPr>
        <w:t>a</w:t>
      </w:r>
      <w:r>
        <w:rPr>
          <w:sz w:val="24"/>
          <w:szCs w:val="24"/>
        </w:rPr>
        <w:t xml:space="preserve">astal jäi </w:t>
      </w:r>
      <w:r w:rsidR="006A1602">
        <w:rPr>
          <w:sz w:val="24"/>
          <w:szCs w:val="24"/>
        </w:rPr>
        <w:t xml:space="preserve">alla 26%. 2019. aastaks prognoositav netovõlakoormus on </w:t>
      </w:r>
      <w:r w:rsidR="00F13E2D">
        <w:rPr>
          <w:sz w:val="24"/>
          <w:szCs w:val="24"/>
        </w:rPr>
        <w:t xml:space="preserve">jääb 2018. aasta tasemele ehk </w:t>
      </w:r>
      <w:r w:rsidR="005F3474">
        <w:rPr>
          <w:sz w:val="24"/>
          <w:szCs w:val="24"/>
        </w:rPr>
        <w:t>ca. 26</w:t>
      </w:r>
      <w:r w:rsidR="00F13E2D">
        <w:rPr>
          <w:sz w:val="24"/>
          <w:szCs w:val="24"/>
        </w:rPr>
        <w:t>%.</w:t>
      </w:r>
      <w:r w:rsidR="006A1602">
        <w:rPr>
          <w:sz w:val="24"/>
          <w:szCs w:val="24"/>
        </w:rPr>
        <w:t xml:space="preserve"> </w:t>
      </w:r>
      <w:r w:rsidR="00F8739B">
        <w:rPr>
          <w:sz w:val="24"/>
          <w:szCs w:val="24"/>
        </w:rPr>
        <w:t>Esialgselt p</w:t>
      </w:r>
      <w:r w:rsidR="006A1602">
        <w:rPr>
          <w:sz w:val="24"/>
          <w:szCs w:val="24"/>
        </w:rPr>
        <w:t>laneeritud laenu ei võeta</w:t>
      </w:r>
      <w:r w:rsidR="002532E3">
        <w:rPr>
          <w:sz w:val="24"/>
          <w:szCs w:val="24"/>
        </w:rPr>
        <w:t xml:space="preserve"> nii suures mahus nagu prognoositi</w:t>
      </w:r>
      <w:r w:rsidR="006A1602">
        <w:rPr>
          <w:sz w:val="24"/>
          <w:szCs w:val="24"/>
        </w:rPr>
        <w:t>, kuna 2019. aasta suurimad investeeringud lükkuvad 2020. aastasse. Strateegia perioodi</w:t>
      </w:r>
      <w:r w:rsidR="00A13341">
        <w:rPr>
          <w:sz w:val="24"/>
          <w:szCs w:val="24"/>
        </w:rPr>
        <w:t>l</w:t>
      </w:r>
      <w:r w:rsidR="006A1602">
        <w:rPr>
          <w:sz w:val="24"/>
          <w:szCs w:val="24"/>
        </w:rPr>
        <w:t xml:space="preserve"> netovõlakoormus kasvab, kuna </w:t>
      </w:r>
      <w:r w:rsidR="00A13341">
        <w:rPr>
          <w:sz w:val="24"/>
          <w:szCs w:val="24"/>
        </w:rPr>
        <w:t xml:space="preserve">kaheks esimeseks aastaks </w:t>
      </w:r>
      <w:r w:rsidR="006A1602">
        <w:rPr>
          <w:sz w:val="24"/>
          <w:szCs w:val="24"/>
        </w:rPr>
        <w:t xml:space="preserve">on planeeritud märkimisväärsed investeeringud. Strateegia perioodil ei ületata netovõlakoormuse lubatavat ülemmäära. </w:t>
      </w:r>
    </w:p>
    <w:p w:rsidR="001F1FE0" w:rsidRDefault="001F1FE0" w:rsidP="00326510">
      <w:pPr>
        <w:jc w:val="both"/>
        <w:rPr>
          <w:sz w:val="24"/>
          <w:szCs w:val="24"/>
        </w:rPr>
      </w:pPr>
    </w:p>
    <w:p w:rsidR="00CF0F8C" w:rsidRPr="009F6F14" w:rsidRDefault="00CF0F8C" w:rsidP="00326510">
      <w:pPr>
        <w:jc w:val="both"/>
        <w:rPr>
          <w:sz w:val="24"/>
          <w:szCs w:val="24"/>
        </w:rPr>
      </w:pPr>
    </w:p>
    <w:p w:rsidR="006D719C" w:rsidRDefault="001F0C13" w:rsidP="00FA5C8A">
      <w:pPr>
        <w:pStyle w:val="Heading1"/>
        <w:numPr>
          <w:ilvl w:val="1"/>
          <w:numId w:val="2"/>
        </w:numPr>
        <w:rPr>
          <w:sz w:val="24"/>
          <w:szCs w:val="24"/>
        </w:rPr>
      </w:pPr>
      <w:bookmarkStart w:id="18" w:name="_Toc22542305"/>
      <w:r w:rsidRPr="00BA1430">
        <w:t>Ülevaade sõltuvatest arvestusüksustest</w:t>
      </w:r>
      <w:bookmarkEnd w:id="18"/>
      <w:r w:rsidRPr="00BA1430">
        <w:t xml:space="preserve"> </w:t>
      </w:r>
    </w:p>
    <w:p w:rsidR="001F0C13" w:rsidRDefault="001F0C13" w:rsidP="00326510">
      <w:pPr>
        <w:jc w:val="both"/>
        <w:rPr>
          <w:sz w:val="24"/>
          <w:szCs w:val="24"/>
        </w:rPr>
      </w:pPr>
    </w:p>
    <w:p w:rsidR="001F0C13" w:rsidRDefault="001F0C13" w:rsidP="00326510">
      <w:pPr>
        <w:jc w:val="both"/>
        <w:rPr>
          <w:sz w:val="24"/>
          <w:szCs w:val="24"/>
        </w:rPr>
      </w:pPr>
      <w:r w:rsidRPr="001F0C13">
        <w:rPr>
          <w:sz w:val="24"/>
          <w:szCs w:val="24"/>
        </w:rPr>
        <w:t xml:space="preserve">Alates 2012. aastast reguleerib kohalike omavalitsuste finantsjuhtimist kohaliku omavalitsuse üksuse finantsjuhtimise seadus. Kohaliku omavalitsuse arvestusüksuses koosseisu kuuluvad kohaliku omavalitsuse üksus ja temast sõltuv üksus, s.o kohaliku omavalitsuse üksuse otsese või kaudse valitseva mõju all olev üksus, kes on saanud kohaliku omavalitsuse üksuselt, riigilt, muult avalik-õiguslikult </w:t>
      </w:r>
      <w:r w:rsidRPr="001F0C13">
        <w:rPr>
          <w:sz w:val="24"/>
          <w:szCs w:val="24"/>
        </w:rPr>
        <w:lastRenderedPageBreak/>
        <w:t>juriidiliselt isikult või nende mõju all olevatelt üksustelt üle poole tuludest või on saanud toetust ja renditulu kohaliku omavalitsuse üksustelt rohkem kui 10% vastava aasta põhitegevuse tuludest.</w:t>
      </w:r>
    </w:p>
    <w:p w:rsidR="001867ED" w:rsidRDefault="001867ED" w:rsidP="00326510">
      <w:pPr>
        <w:jc w:val="both"/>
        <w:rPr>
          <w:sz w:val="24"/>
          <w:szCs w:val="24"/>
        </w:rPr>
      </w:pPr>
    </w:p>
    <w:p w:rsidR="00BF1CE1" w:rsidRDefault="001F0C13" w:rsidP="001F0C13">
      <w:pPr>
        <w:jc w:val="both"/>
        <w:rPr>
          <w:sz w:val="24"/>
          <w:szCs w:val="24"/>
        </w:rPr>
      </w:pPr>
      <w:r>
        <w:rPr>
          <w:sz w:val="24"/>
          <w:szCs w:val="24"/>
        </w:rPr>
        <w:t>Vinni valla sõltuvad üksused on AS Vinni Spo</w:t>
      </w:r>
      <w:r w:rsidR="00F417DC">
        <w:rPr>
          <w:sz w:val="24"/>
          <w:szCs w:val="24"/>
        </w:rPr>
        <w:t xml:space="preserve">rdikompleks ja OÜ Roela Soojus. </w:t>
      </w:r>
      <w:r w:rsidR="00422B00">
        <w:rPr>
          <w:sz w:val="24"/>
          <w:szCs w:val="24"/>
        </w:rPr>
        <w:t>AS Vinni Spordikompleksi aktsiad kuuluvad 100% Vinni vallale.</w:t>
      </w:r>
      <w:r w:rsidR="00F417DC">
        <w:rPr>
          <w:sz w:val="24"/>
          <w:szCs w:val="24"/>
        </w:rPr>
        <w:t xml:space="preserve"> </w:t>
      </w:r>
      <w:r w:rsidRPr="001F0C13">
        <w:rPr>
          <w:sz w:val="24"/>
          <w:szCs w:val="24"/>
        </w:rPr>
        <w:t>Spordikompleks on atraktiivne ja kaasaegne vaba aja veetmise- ja sportimiskeskus. Spordikompleks pakub majutus-, toitlustus-, tervise-, treeningute ja spordivõistluste ning ürituste läbiviimise-, seminari- ja konverentsiteenuseid.</w:t>
      </w:r>
      <w:r w:rsidR="00F417DC">
        <w:rPr>
          <w:sz w:val="24"/>
          <w:szCs w:val="24"/>
        </w:rPr>
        <w:t xml:space="preserve"> </w:t>
      </w:r>
      <w:r w:rsidR="00F417DC" w:rsidRPr="00BF1CE1">
        <w:rPr>
          <w:sz w:val="24"/>
          <w:szCs w:val="24"/>
          <w:lang w:eastAsia="en-US"/>
        </w:rPr>
        <w:t>OÜ Roela Soojus on asutatud 1997 aastal ümberkujundamise teel eelnevast munitsipaalettevõttest Roela Soojus. Ettevõte põhitegevuseks on soojusenergia tootmine, soojusenergia ja kommunaalteenuste müük, soojavarustus- ning vee- ja kanalisatsioonisüsteemide hooldamine, ehitus ja remont. OÜ Roela Soojuse ainuosanik on Vinni vald.</w:t>
      </w:r>
    </w:p>
    <w:p w:rsidR="00F417DC" w:rsidRDefault="00F417DC" w:rsidP="001F0C13">
      <w:pPr>
        <w:jc w:val="both"/>
        <w:rPr>
          <w:sz w:val="24"/>
          <w:szCs w:val="24"/>
        </w:rPr>
      </w:pPr>
    </w:p>
    <w:p w:rsidR="001755F4" w:rsidRDefault="00F417DC" w:rsidP="001F0C13">
      <w:pPr>
        <w:jc w:val="both"/>
        <w:rPr>
          <w:sz w:val="24"/>
          <w:szCs w:val="24"/>
        </w:rPr>
      </w:pPr>
      <w:r>
        <w:rPr>
          <w:sz w:val="24"/>
          <w:szCs w:val="24"/>
        </w:rPr>
        <w:t>Vinni Spordikompleksi finantsnäitajad 2020-2023 aastateks.</w:t>
      </w:r>
    </w:p>
    <w:p w:rsidR="00BF1CE1" w:rsidRDefault="00BF1CE1" w:rsidP="001F0C13">
      <w:pPr>
        <w:jc w:val="both"/>
        <w:rPr>
          <w:sz w:val="24"/>
          <w:szCs w:val="24"/>
        </w:rPr>
      </w:pPr>
    </w:p>
    <w:tbl>
      <w:tblPr>
        <w:tblW w:w="10155" w:type="dxa"/>
        <w:tblCellMar>
          <w:left w:w="70" w:type="dxa"/>
          <w:right w:w="70" w:type="dxa"/>
        </w:tblCellMar>
        <w:tblLook w:val="04A0" w:firstRow="1" w:lastRow="0" w:firstColumn="1" w:lastColumn="0" w:noHBand="0" w:noVBand="1"/>
      </w:tblPr>
      <w:tblGrid>
        <w:gridCol w:w="4783"/>
        <w:gridCol w:w="1127"/>
        <w:gridCol w:w="986"/>
        <w:gridCol w:w="1127"/>
        <w:gridCol w:w="1172"/>
        <w:gridCol w:w="960"/>
      </w:tblGrid>
      <w:tr w:rsidR="00CF0F8C" w:rsidRPr="00CF0F8C" w:rsidTr="00FA1C99">
        <w:trPr>
          <w:trHeight w:val="595"/>
        </w:trPr>
        <w:tc>
          <w:tcPr>
            <w:tcW w:w="4783" w:type="dxa"/>
            <w:tcBorders>
              <w:top w:val="single" w:sz="8" w:space="0" w:color="auto"/>
              <w:left w:val="single" w:sz="8" w:space="0" w:color="auto"/>
              <w:bottom w:val="single" w:sz="4" w:space="0" w:color="auto"/>
              <w:right w:val="single" w:sz="4" w:space="0" w:color="auto"/>
            </w:tcBorders>
            <w:shd w:val="clear" w:color="000000" w:fill="CCFFCC"/>
            <w:vAlign w:val="bottom"/>
            <w:hideMark/>
          </w:tcPr>
          <w:p w:rsidR="00CF0F8C" w:rsidRPr="00CF0F8C" w:rsidRDefault="00CF0F8C" w:rsidP="00CF0F8C">
            <w:pPr>
              <w:widowControl/>
              <w:autoSpaceDE/>
              <w:autoSpaceDN/>
              <w:rPr>
                <w:rFonts w:ascii="Arial" w:hAnsi="Arial" w:cs="Arial"/>
                <w:b/>
                <w:bCs/>
                <w:sz w:val="20"/>
                <w:szCs w:val="20"/>
                <w:lang w:val="et-EE" w:eastAsia="et-EE"/>
              </w:rPr>
            </w:pPr>
          </w:p>
        </w:tc>
        <w:tc>
          <w:tcPr>
            <w:tcW w:w="1127" w:type="dxa"/>
            <w:tcBorders>
              <w:top w:val="single" w:sz="8" w:space="0" w:color="auto"/>
              <w:left w:val="nil"/>
              <w:bottom w:val="single" w:sz="4" w:space="0" w:color="auto"/>
              <w:right w:val="single" w:sz="4" w:space="0" w:color="auto"/>
            </w:tcBorders>
            <w:shd w:val="clear" w:color="000000" w:fill="CCFFCC"/>
            <w:vAlign w:val="bottom"/>
            <w:hideMark/>
          </w:tcPr>
          <w:p w:rsidR="00CF0F8C" w:rsidRPr="00CF0F8C" w:rsidRDefault="00CF0F8C" w:rsidP="00CF0F8C">
            <w:pPr>
              <w:widowControl/>
              <w:autoSpaceDE/>
              <w:autoSpaceDN/>
              <w:jc w:val="center"/>
              <w:rPr>
                <w:rFonts w:ascii="Arial" w:hAnsi="Arial" w:cs="Arial"/>
                <w:b/>
                <w:bCs/>
                <w:sz w:val="20"/>
                <w:szCs w:val="20"/>
                <w:lang w:val="et-EE" w:eastAsia="et-EE"/>
              </w:rPr>
            </w:pPr>
            <w:r w:rsidRPr="00CF0F8C">
              <w:rPr>
                <w:rFonts w:ascii="Arial" w:hAnsi="Arial" w:cs="Arial"/>
                <w:b/>
                <w:bCs/>
                <w:sz w:val="20"/>
                <w:szCs w:val="20"/>
                <w:lang w:val="et-EE" w:eastAsia="et-EE"/>
              </w:rPr>
              <w:t>2019 eeldatav täitmine</w:t>
            </w:r>
          </w:p>
        </w:tc>
        <w:tc>
          <w:tcPr>
            <w:tcW w:w="986" w:type="dxa"/>
            <w:tcBorders>
              <w:top w:val="single" w:sz="8" w:space="0" w:color="auto"/>
              <w:left w:val="nil"/>
              <w:bottom w:val="single" w:sz="4" w:space="0" w:color="auto"/>
              <w:right w:val="single" w:sz="4" w:space="0" w:color="auto"/>
            </w:tcBorders>
            <w:shd w:val="clear" w:color="000000" w:fill="CCFFCC"/>
            <w:vAlign w:val="bottom"/>
            <w:hideMark/>
          </w:tcPr>
          <w:p w:rsidR="00CF0F8C" w:rsidRPr="00CF0F8C" w:rsidRDefault="00CF0F8C" w:rsidP="00CF0F8C">
            <w:pPr>
              <w:widowControl/>
              <w:autoSpaceDE/>
              <w:autoSpaceDN/>
              <w:jc w:val="center"/>
              <w:rPr>
                <w:rFonts w:ascii="Arial" w:hAnsi="Arial" w:cs="Arial"/>
                <w:b/>
                <w:bCs/>
                <w:sz w:val="20"/>
                <w:szCs w:val="20"/>
                <w:lang w:val="et-EE" w:eastAsia="et-EE"/>
              </w:rPr>
            </w:pPr>
            <w:r w:rsidRPr="00CF0F8C">
              <w:rPr>
                <w:rFonts w:ascii="Arial" w:hAnsi="Arial" w:cs="Arial"/>
                <w:b/>
                <w:bCs/>
                <w:sz w:val="20"/>
                <w:szCs w:val="20"/>
                <w:lang w:val="et-EE" w:eastAsia="et-EE"/>
              </w:rPr>
              <w:t xml:space="preserve">2020 eelarve  </w:t>
            </w:r>
          </w:p>
        </w:tc>
        <w:tc>
          <w:tcPr>
            <w:tcW w:w="1127" w:type="dxa"/>
            <w:tcBorders>
              <w:top w:val="single" w:sz="8" w:space="0" w:color="auto"/>
              <w:left w:val="nil"/>
              <w:bottom w:val="single" w:sz="4" w:space="0" w:color="auto"/>
              <w:right w:val="single" w:sz="4" w:space="0" w:color="auto"/>
            </w:tcBorders>
            <w:shd w:val="clear" w:color="000000" w:fill="CCFFCC"/>
            <w:vAlign w:val="bottom"/>
            <w:hideMark/>
          </w:tcPr>
          <w:p w:rsidR="00CF0F8C" w:rsidRPr="00CF0F8C" w:rsidRDefault="00CF0F8C" w:rsidP="00CF0F8C">
            <w:pPr>
              <w:widowControl/>
              <w:autoSpaceDE/>
              <w:autoSpaceDN/>
              <w:jc w:val="center"/>
              <w:rPr>
                <w:rFonts w:ascii="Arial" w:hAnsi="Arial" w:cs="Arial"/>
                <w:b/>
                <w:bCs/>
                <w:sz w:val="20"/>
                <w:szCs w:val="20"/>
                <w:lang w:val="et-EE" w:eastAsia="et-EE"/>
              </w:rPr>
            </w:pPr>
            <w:r w:rsidRPr="00CF0F8C">
              <w:rPr>
                <w:rFonts w:ascii="Arial" w:hAnsi="Arial" w:cs="Arial"/>
                <w:b/>
                <w:bCs/>
                <w:sz w:val="20"/>
                <w:szCs w:val="20"/>
                <w:lang w:val="et-EE" w:eastAsia="et-EE"/>
              </w:rPr>
              <w:t xml:space="preserve">2021 eelarve  </w:t>
            </w:r>
          </w:p>
        </w:tc>
        <w:tc>
          <w:tcPr>
            <w:tcW w:w="1172" w:type="dxa"/>
            <w:tcBorders>
              <w:top w:val="single" w:sz="8" w:space="0" w:color="auto"/>
              <w:left w:val="nil"/>
              <w:bottom w:val="single" w:sz="4" w:space="0" w:color="auto"/>
              <w:right w:val="single" w:sz="4" w:space="0" w:color="auto"/>
            </w:tcBorders>
            <w:shd w:val="clear" w:color="000000" w:fill="CCFFCC"/>
            <w:vAlign w:val="bottom"/>
            <w:hideMark/>
          </w:tcPr>
          <w:p w:rsidR="00CF0F8C" w:rsidRPr="00CF0F8C" w:rsidRDefault="00CF0F8C" w:rsidP="00CF0F8C">
            <w:pPr>
              <w:widowControl/>
              <w:autoSpaceDE/>
              <w:autoSpaceDN/>
              <w:jc w:val="center"/>
              <w:rPr>
                <w:rFonts w:ascii="Arial" w:hAnsi="Arial" w:cs="Arial"/>
                <w:b/>
                <w:bCs/>
                <w:sz w:val="20"/>
                <w:szCs w:val="20"/>
                <w:lang w:val="et-EE" w:eastAsia="et-EE"/>
              </w:rPr>
            </w:pPr>
            <w:r w:rsidRPr="00CF0F8C">
              <w:rPr>
                <w:rFonts w:ascii="Arial" w:hAnsi="Arial" w:cs="Arial"/>
                <w:b/>
                <w:bCs/>
                <w:sz w:val="20"/>
                <w:szCs w:val="20"/>
                <w:lang w:val="et-EE" w:eastAsia="et-EE"/>
              </w:rPr>
              <w:t xml:space="preserve">2022 eelarve  </w:t>
            </w:r>
          </w:p>
        </w:tc>
        <w:tc>
          <w:tcPr>
            <w:tcW w:w="960" w:type="dxa"/>
            <w:tcBorders>
              <w:top w:val="single" w:sz="8" w:space="0" w:color="auto"/>
              <w:left w:val="nil"/>
              <w:bottom w:val="single" w:sz="4" w:space="0" w:color="auto"/>
              <w:right w:val="single" w:sz="8" w:space="0" w:color="auto"/>
            </w:tcBorders>
            <w:shd w:val="clear" w:color="000000" w:fill="CCFFCC"/>
            <w:vAlign w:val="bottom"/>
            <w:hideMark/>
          </w:tcPr>
          <w:p w:rsidR="00CF0F8C" w:rsidRPr="00CF0F8C" w:rsidRDefault="00CF0F8C" w:rsidP="00CF0F8C">
            <w:pPr>
              <w:widowControl/>
              <w:autoSpaceDE/>
              <w:autoSpaceDN/>
              <w:jc w:val="center"/>
              <w:rPr>
                <w:rFonts w:ascii="Arial" w:hAnsi="Arial" w:cs="Arial"/>
                <w:b/>
                <w:bCs/>
                <w:sz w:val="20"/>
                <w:szCs w:val="20"/>
                <w:lang w:val="et-EE" w:eastAsia="et-EE"/>
              </w:rPr>
            </w:pPr>
            <w:r w:rsidRPr="00CF0F8C">
              <w:rPr>
                <w:rFonts w:ascii="Arial" w:hAnsi="Arial" w:cs="Arial"/>
                <w:b/>
                <w:bCs/>
                <w:sz w:val="20"/>
                <w:szCs w:val="20"/>
                <w:lang w:val="et-EE" w:eastAsia="et-EE"/>
              </w:rPr>
              <w:t xml:space="preserve">2023 eelarve  </w:t>
            </w:r>
          </w:p>
        </w:tc>
      </w:tr>
      <w:tr w:rsidR="00CF0F8C" w:rsidRPr="00CF0F8C" w:rsidTr="00FA1C99">
        <w:trPr>
          <w:trHeight w:val="197"/>
        </w:trPr>
        <w:tc>
          <w:tcPr>
            <w:tcW w:w="4783" w:type="dxa"/>
            <w:tcBorders>
              <w:top w:val="nil"/>
              <w:left w:val="single" w:sz="8" w:space="0" w:color="auto"/>
              <w:bottom w:val="single" w:sz="4" w:space="0" w:color="auto"/>
              <w:right w:val="single" w:sz="4" w:space="0" w:color="auto"/>
            </w:tcBorders>
            <w:shd w:val="clear" w:color="auto" w:fill="auto"/>
            <w:noWrap/>
            <w:vAlign w:val="center"/>
            <w:hideMark/>
          </w:tcPr>
          <w:p w:rsidR="00CF0F8C" w:rsidRPr="00CF0F8C" w:rsidRDefault="00CF0F8C" w:rsidP="00CF0F8C">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Põhitegevuse tulud kokku (+)</w:t>
            </w:r>
          </w:p>
        </w:tc>
        <w:tc>
          <w:tcPr>
            <w:tcW w:w="1127" w:type="dxa"/>
            <w:tcBorders>
              <w:top w:val="nil"/>
              <w:left w:val="nil"/>
              <w:bottom w:val="single" w:sz="4" w:space="0" w:color="auto"/>
              <w:right w:val="single" w:sz="4" w:space="0" w:color="auto"/>
            </w:tcBorders>
            <w:shd w:val="clear" w:color="auto" w:fill="auto"/>
            <w:vAlign w:val="bottom"/>
            <w:hideMark/>
          </w:tcPr>
          <w:p w:rsidR="00CF0F8C" w:rsidRPr="00CF0F8C" w:rsidRDefault="00CF0F8C" w:rsidP="00CF0F8C">
            <w:pPr>
              <w:widowControl/>
              <w:autoSpaceDE/>
              <w:autoSpaceDN/>
              <w:jc w:val="right"/>
              <w:outlineLvl w:val="0"/>
              <w:rPr>
                <w:rFonts w:ascii="Arial" w:hAnsi="Arial" w:cs="Arial"/>
                <w:b/>
                <w:bCs/>
                <w:sz w:val="20"/>
                <w:szCs w:val="20"/>
                <w:lang w:val="et-EE" w:eastAsia="et-EE"/>
              </w:rPr>
            </w:pPr>
            <w:r w:rsidRPr="00CF0F8C">
              <w:rPr>
                <w:rFonts w:ascii="Arial" w:hAnsi="Arial" w:cs="Arial"/>
                <w:b/>
                <w:bCs/>
                <w:sz w:val="20"/>
                <w:szCs w:val="20"/>
                <w:lang w:val="et-EE" w:eastAsia="et-EE"/>
              </w:rPr>
              <w:t>708 000</w:t>
            </w:r>
          </w:p>
        </w:tc>
        <w:tc>
          <w:tcPr>
            <w:tcW w:w="986" w:type="dxa"/>
            <w:tcBorders>
              <w:top w:val="nil"/>
              <w:left w:val="nil"/>
              <w:bottom w:val="single" w:sz="4" w:space="0" w:color="auto"/>
              <w:right w:val="single" w:sz="4" w:space="0" w:color="auto"/>
            </w:tcBorders>
            <w:shd w:val="clear" w:color="auto" w:fill="auto"/>
            <w:vAlign w:val="bottom"/>
            <w:hideMark/>
          </w:tcPr>
          <w:p w:rsidR="00CF0F8C" w:rsidRPr="00CF0F8C" w:rsidRDefault="00CF0F8C" w:rsidP="00CF0F8C">
            <w:pPr>
              <w:widowControl/>
              <w:autoSpaceDE/>
              <w:autoSpaceDN/>
              <w:jc w:val="right"/>
              <w:outlineLvl w:val="0"/>
              <w:rPr>
                <w:rFonts w:ascii="Arial" w:hAnsi="Arial" w:cs="Arial"/>
                <w:b/>
                <w:bCs/>
                <w:sz w:val="20"/>
                <w:szCs w:val="20"/>
                <w:lang w:val="et-EE" w:eastAsia="et-EE"/>
              </w:rPr>
            </w:pPr>
            <w:r w:rsidRPr="00CF0F8C">
              <w:rPr>
                <w:rFonts w:ascii="Arial" w:hAnsi="Arial" w:cs="Arial"/>
                <w:b/>
                <w:bCs/>
                <w:sz w:val="20"/>
                <w:szCs w:val="20"/>
                <w:lang w:val="et-EE" w:eastAsia="et-EE"/>
              </w:rPr>
              <w:t>715 000</w:t>
            </w:r>
          </w:p>
        </w:tc>
        <w:tc>
          <w:tcPr>
            <w:tcW w:w="1127" w:type="dxa"/>
            <w:tcBorders>
              <w:top w:val="nil"/>
              <w:left w:val="nil"/>
              <w:bottom w:val="single" w:sz="4" w:space="0" w:color="auto"/>
              <w:right w:val="single" w:sz="4" w:space="0" w:color="auto"/>
            </w:tcBorders>
            <w:shd w:val="clear" w:color="auto" w:fill="auto"/>
            <w:vAlign w:val="bottom"/>
            <w:hideMark/>
          </w:tcPr>
          <w:p w:rsidR="00CF0F8C" w:rsidRPr="00CF0F8C" w:rsidRDefault="00CF0F8C" w:rsidP="00CF0F8C">
            <w:pPr>
              <w:widowControl/>
              <w:autoSpaceDE/>
              <w:autoSpaceDN/>
              <w:jc w:val="right"/>
              <w:outlineLvl w:val="0"/>
              <w:rPr>
                <w:rFonts w:ascii="Arial" w:hAnsi="Arial" w:cs="Arial"/>
                <w:b/>
                <w:bCs/>
                <w:sz w:val="20"/>
                <w:szCs w:val="20"/>
                <w:lang w:val="et-EE" w:eastAsia="et-EE"/>
              </w:rPr>
            </w:pPr>
            <w:r w:rsidRPr="00CF0F8C">
              <w:rPr>
                <w:rFonts w:ascii="Arial" w:hAnsi="Arial" w:cs="Arial"/>
                <w:b/>
                <w:bCs/>
                <w:sz w:val="20"/>
                <w:szCs w:val="20"/>
                <w:lang w:val="et-EE" w:eastAsia="et-EE"/>
              </w:rPr>
              <w:t>720 000</w:t>
            </w:r>
          </w:p>
        </w:tc>
        <w:tc>
          <w:tcPr>
            <w:tcW w:w="1172" w:type="dxa"/>
            <w:tcBorders>
              <w:top w:val="nil"/>
              <w:left w:val="nil"/>
              <w:bottom w:val="single" w:sz="4" w:space="0" w:color="auto"/>
              <w:right w:val="single" w:sz="4" w:space="0" w:color="auto"/>
            </w:tcBorders>
            <w:shd w:val="clear" w:color="auto" w:fill="auto"/>
            <w:vAlign w:val="bottom"/>
            <w:hideMark/>
          </w:tcPr>
          <w:p w:rsidR="00CF0F8C" w:rsidRPr="00CF0F8C" w:rsidRDefault="00CF0F8C" w:rsidP="00CF0F8C">
            <w:pPr>
              <w:widowControl/>
              <w:autoSpaceDE/>
              <w:autoSpaceDN/>
              <w:jc w:val="right"/>
              <w:outlineLvl w:val="0"/>
              <w:rPr>
                <w:rFonts w:ascii="Arial" w:hAnsi="Arial" w:cs="Arial"/>
                <w:b/>
                <w:bCs/>
                <w:sz w:val="20"/>
                <w:szCs w:val="20"/>
                <w:lang w:val="et-EE" w:eastAsia="et-EE"/>
              </w:rPr>
            </w:pPr>
            <w:r w:rsidRPr="00CF0F8C">
              <w:rPr>
                <w:rFonts w:ascii="Arial" w:hAnsi="Arial" w:cs="Arial"/>
                <w:b/>
                <w:bCs/>
                <w:sz w:val="20"/>
                <w:szCs w:val="20"/>
                <w:lang w:val="et-EE" w:eastAsia="et-EE"/>
              </w:rPr>
              <w:t>725 000</w:t>
            </w:r>
          </w:p>
        </w:tc>
        <w:tc>
          <w:tcPr>
            <w:tcW w:w="960" w:type="dxa"/>
            <w:tcBorders>
              <w:top w:val="nil"/>
              <w:left w:val="nil"/>
              <w:bottom w:val="single" w:sz="4" w:space="0" w:color="auto"/>
              <w:right w:val="single" w:sz="8" w:space="0" w:color="auto"/>
            </w:tcBorders>
            <w:shd w:val="clear" w:color="auto" w:fill="auto"/>
            <w:vAlign w:val="bottom"/>
            <w:hideMark/>
          </w:tcPr>
          <w:p w:rsidR="00CF0F8C" w:rsidRPr="00CF0F8C" w:rsidRDefault="00CF0F8C" w:rsidP="00CF0F8C">
            <w:pPr>
              <w:widowControl/>
              <w:autoSpaceDE/>
              <w:autoSpaceDN/>
              <w:jc w:val="right"/>
              <w:outlineLvl w:val="0"/>
              <w:rPr>
                <w:rFonts w:ascii="Arial" w:hAnsi="Arial" w:cs="Arial"/>
                <w:b/>
                <w:bCs/>
                <w:sz w:val="20"/>
                <w:szCs w:val="20"/>
                <w:lang w:val="et-EE" w:eastAsia="et-EE"/>
              </w:rPr>
            </w:pPr>
            <w:r w:rsidRPr="00CF0F8C">
              <w:rPr>
                <w:rFonts w:ascii="Arial" w:hAnsi="Arial" w:cs="Arial"/>
                <w:b/>
                <w:bCs/>
                <w:sz w:val="20"/>
                <w:szCs w:val="20"/>
                <w:lang w:val="et-EE" w:eastAsia="et-EE"/>
              </w:rPr>
              <w:t>730 000</w:t>
            </w:r>
          </w:p>
        </w:tc>
      </w:tr>
      <w:tr w:rsidR="00CF0F8C" w:rsidRPr="00CF0F8C" w:rsidTr="00FA1C99">
        <w:trPr>
          <w:trHeight w:val="197"/>
        </w:trPr>
        <w:tc>
          <w:tcPr>
            <w:tcW w:w="4783" w:type="dxa"/>
            <w:tcBorders>
              <w:top w:val="nil"/>
              <w:left w:val="single" w:sz="8" w:space="0" w:color="auto"/>
              <w:bottom w:val="single" w:sz="4" w:space="0" w:color="auto"/>
              <w:right w:val="single" w:sz="4" w:space="0" w:color="auto"/>
            </w:tcBorders>
            <w:shd w:val="clear" w:color="auto" w:fill="auto"/>
            <w:noWrap/>
            <w:vAlign w:val="center"/>
            <w:hideMark/>
          </w:tcPr>
          <w:p w:rsidR="00CF0F8C" w:rsidRPr="00CF0F8C" w:rsidRDefault="00CF0F8C" w:rsidP="00CF0F8C">
            <w:pPr>
              <w:widowControl/>
              <w:autoSpaceDE/>
              <w:autoSpaceDN/>
              <w:outlineLvl w:val="0"/>
              <w:rPr>
                <w:rFonts w:ascii="Arial" w:hAnsi="Arial" w:cs="Arial"/>
                <w:sz w:val="16"/>
                <w:szCs w:val="16"/>
                <w:lang w:val="et-EE" w:eastAsia="et-EE"/>
              </w:rPr>
            </w:pPr>
            <w:r w:rsidRPr="00CF0F8C">
              <w:rPr>
                <w:rFonts w:ascii="Arial" w:hAnsi="Arial" w:cs="Arial"/>
                <w:sz w:val="16"/>
                <w:szCs w:val="16"/>
                <w:lang w:val="et-EE" w:eastAsia="et-EE"/>
              </w:rPr>
              <w:t xml:space="preserve">    sh saadud tulud kohalikult omavalitsuselt</w:t>
            </w:r>
          </w:p>
        </w:tc>
        <w:tc>
          <w:tcPr>
            <w:tcW w:w="1127" w:type="dxa"/>
            <w:tcBorders>
              <w:top w:val="nil"/>
              <w:left w:val="nil"/>
              <w:bottom w:val="single" w:sz="4" w:space="0" w:color="auto"/>
              <w:right w:val="single" w:sz="4" w:space="0" w:color="auto"/>
            </w:tcBorders>
            <w:shd w:val="clear" w:color="auto" w:fill="auto"/>
            <w:noWrap/>
            <w:vAlign w:val="bottom"/>
            <w:hideMark/>
          </w:tcPr>
          <w:p w:rsidR="00CF0F8C" w:rsidRPr="00CF0F8C" w:rsidRDefault="00CF0F8C" w:rsidP="00CF0F8C">
            <w:pPr>
              <w:widowControl/>
              <w:autoSpaceDE/>
              <w:autoSpaceDN/>
              <w:jc w:val="right"/>
              <w:outlineLvl w:val="0"/>
              <w:rPr>
                <w:rFonts w:ascii="Arial" w:hAnsi="Arial" w:cs="Arial"/>
                <w:sz w:val="20"/>
                <w:szCs w:val="20"/>
                <w:lang w:val="et-EE" w:eastAsia="et-EE"/>
              </w:rPr>
            </w:pPr>
            <w:r w:rsidRPr="00CF0F8C">
              <w:rPr>
                <w:rFonts w:ascii="Arial" w:hAnsi="Arial" w:cs="Arial"/>
                <w:sz w:val="20"/>
                <w:szCs w:val="20"/>
                <w:lang w:val="et-EE" w:eastAsia="et-EE"/>
              </w:rPr>
              <w:t>80 000</w:t>
            </w:r>
          </w:p>
        </w:tc>
        <w:tc>
          <w:tcPr>
            <w:tcW w:w="986" w:type="dxa"/>
            <w:tcBorders>
              <w:top w:val="nil"/>
              <w:left w:val="nil"/>
              <w:bottom w:val="single" w:sz="4" w:space="0" w:color="auto"/>
              <w:right w:val="single" w:sz="4" w:space="0" w:color="auto"/>
            </w:tcBorders>
            <w:shd w:val="clear" w:color="auto" w:fill="auto"/>
            <w:noWrap/>
            <w:vAlign w:val="bottom"/>
            <w:hideMark/>
          </w:tcPr>
          <w:p w:rsidR="00CF0F8C" w:rsidRPr="00CF0F8C" w:rsidRDefault="00CF0F8C" w:rsidP="00CF0F8C">
            <w:pPr>
              <w:widowControl/>
              <w:autoSpaceDE/>
              <w:autoSpaceDN/>
              <w:jc w:val="right"/>
              <w:outlineLvl w:val="0"/>
              <w:rPr>
                <w:rFonts w:ascii="Arial" w:hAnsi="Arial" w:cs="Arial"/>
                <w:sz w:val="20"/>
                <w:szCs w:val="20"/>
                <w:lang w:val="et-EE" w:eastAsia="et-EE"/>
              </w:rPr>
            </w:pPr>
            <w:r w:rsidRPr="00CF0F8C">
              <w:rPr>
                <w:rFonts w:ascii="Arial" w:hAnsi="Arial" w:cs="Arial"/>
                <w:sz w:val="20"/>
                <w:szCs w:val="20"/>
                <w:lang w:val="et-EE" w:eastAsia="et-EE"/>
              </w:rPr>
              <w:t>80 000</w:t>
            </w:r>
          </w:p>
        </w:tc>
        <w:tc>
          <w:tcPr>
            <w:tcW w:w="1127" w:type="dxa"/>
            <w:tcBorders>
              <w:top w:val="nil"/>
              <w:left w:val="nil"/>
              <w:bottom w:val="single" w:sz="4" w:space="0" w:color="auto"/>
              <w:right w:val="single" w:sz="4" w:space="0" w:color="auto"/>
            </w:tcBorders>
            <w:shd w:val="clear" w:color="auto" w:fill="auto"/>
            <w:noWrap/>
            <w:vAlign w:val="bottom"/>
            <w:hideMark/>
          </w:tcPr>
          <w:p w:rsidR="00CF0F8C" w:rsidRPr="00CF0F8C" w:rsidRDefault="00CF0F8C" w:rsidP="00CF0F8C">
            <w:pPr>
              <w:widowControl/>
              <w:autoSpaceDE/>
              <w:autoSpaceDN/>
              <w:jc w:val="right"/>
              <w:outlineLvl w:val="0"/>
              <w:rPr>
                <w:rFonts w:ascii="Arial" w:hAnsi="Arial" w:cs="Arial"/>
                <w:sz w:val="20"/>
                <w:szCs w:val="20"/>
                <w:lang w:val="et-EE" w:eastAsia="et-EE"/>
              </w:rPr>
            </w:pPr>
            <w:r w:rsidRPr="00CF0F8C">
              <w:rPr>
                <w:rFonts w:ascii="Arial" w:hAnsi="Arial" w:cs="Arial"/>
                <w:sz w:val="20"/>
                <w:szCs w:val="20"/>
                <w:lang w:val="et-EE" w:eastAsia="et-EE"/>
              </w:rPr>
              <w:t>80 000</w:t>
            </w:r>
          </w:p>
        </w:tc>
        <w:tc>
          <w:tcPr>
            <w:tcW w:w="1172" w:type="dxa"/>
            <w:tcBorders>
              <w:top w:val="nil"/>
              <w:left w:val="nil"/>
              <w:bottom w:val="single" w:sz="4" w:space="0" w:color="auto"/>
              <w:right w:val="single" w:sz="4" w:space="0" w:color="auto"/>
            </w:tcBorders>
            <w:shd w:val="clear" w:color="auto" w:fill="auto"/>
            <w:noWrap/>
            <w:vAlign w:val="bottom"/>
            <w:hideMark/>
          </w:tcPr>
          <w:p w:rsidR="00CF0F8C" w:rsidRPr="00CF0F8C" w:rsidRDefault="00CF0F8C" w:rsidP="00CF0F8C">
            <w:pPr>
              <w:widowControl/>
              <w:autoSpaceDE/>
              <w:autoSpaceDN/>
              <w:jc w:val="right"/>
              <w:outlineLvl w:val="0"/>
              <w:rPr>
                <w:rFonts w:ascii="Arial" w:hAnsi="Arial" w:cs="Arial"/>
                <w:sz w:val="20"/>
                <w:szCs w:val="20"/>
                <w:lang w:val="et-EE" w:eastAsia="et-EE"/>
              </w:rPr>
            </w:pPr>
            <w:r w:rsidRPr="00CF0F8C">
              <w:rPr>
                <w:rFonts w:ascii="Arial" w:hAnsi="Arial" w:cs="Arial"/>
                <w:sz w:val="20"/>
                <w:szCs w:val="20"/>
                <w:lang w:val="et-EE" w:eastAsia="et-EE"/>
              </w:rPr>
              <w:t>80 000</w:t>
            </w:r>
          </w:p>
        </w:tc>
        <w:tc>
          <w:tcPr>
            <w:tcW w:w="960" w:type="dxa"/>
            <w:tcBorders>
              <w:top w:val="nil"/>
              <w:left w:val="nil"/>
              <w:bottom w:val="single" w:sz="4" w:space="0" w:color="auto"/>
              <w:right w:val="single" w:sz="8" w:space="0" w:color="auto"/>
            </w:tcBorders>
            <w:shd w:val="clear" w:color="auto" w:fill="auto"/>
            <w:noWrap/>
            <w:vAlign w:val="bottom"/>
            <w:hideMark/>
          </w:tcPr>
          <w:p w:rsidR="00CF0F8C" w:rsidRPr="00CF0F8C" w:rsidRDefault="00CF0F8C" w:rsidP="00CF0F8C">
            <w:pPr>
              <w:widowControl/>
              <w:autoSpaceDE/>
              <w:autoSpaceDN/>
              <w:jc w:val="right"/>
              <w:outlineLvl w:val="0"/>
              <w:rPr>
                <w:rFonts w:ascii="Arial" w:hAnsi="Arial" w:cs="Arial"/>
                <w:sz w:val="20"/>
                <w:szCs w:val="20"/>
                <w:lang w:val="et-EE" w:eastAsia="et-EE"/>
              </w:rPr>
            </w:pPr>
            <w:r w:rsidRPr="00CF0F8C">
              <w:rPr>
                <w:rFonts w:ascii="Arial" w:hAnsi="Arial" w:cs="Arial"/>
                <w:sz w:val="20"/>
                <w:szCs w:val="20"/>
                <w:lang w:val="et-EE" w:eastAsia="et-EE"/>
              </w:rPr>
              <w:t>80 000</w:t>
            </w:r>
          </w:p>
        </w:tc>
      </w:tr>
      <w:tr w:rsidR="00CF0F8C" w:rsidRPr="00CF0F8C" w:rsidTr="00FA1C99">
        <w:trPr>
          <w:trHeight w:val="197"/>
        </w:trPr>
        <w:tc>
          <w:tcPr>
            <w:tcW w:w="4783" w:type="dxa"/>
            <w:tcBorders>
              <w:top w:val="nil"/>
              <w:left w:val="single" w:sz="8" w:space="0" w:color="auto"/>
              <w:bottom w:val="single" w:sz="4" w:space="0" w:color="auto"/>
              <w:right w:val="single" w:sz="4" w:space="0" w:color="auto"/>
            </w:tcBorders>
            <w:shd w:val="clear" w:color="auto" w:fill="auto"/>
            <w:noWrap/>
            <w:vAlign w:val="center"/>
            <w:hideMark/>
          </w:tcPr>
          <w:p w:rsidR="00CF0F8C" w:rsidRPr="00CF0F8C" w:rsidRDefault="00CF0F8C" w:rsidP="00CF0F8C">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Põhitegevuse kulud kokku (+)</w:t>
            </w:r>
          </w:p>
        </w:tc>
        <w:tc>
          <w:tcPr>
            <w:tcW w:w="1127" w:type="dxa"/>
            <w:tcBorders>
              <w:top w:val="nil"/>
              <w:left w:val="nil"/>
              <w:bottom w:val="single" w:sz="4" w:space="0" w:color="auto"/>
              <w:right w:val="single" w:sz="4" w:space="0" w:color="auto"/>
            </w:tcBorders>
            <w:shd w:val="clear" w:color="auto" w:fill="auto"/>
            <w:vAlign w:val="bottom"/>
            <w:hideMark/>
          </w:tcPr>
          <w:p w:rsidR="00CF0F8C" w:rsidRPr="00CF0F8C" w:rsidRDefault="00CF0F8C" w:rsidP="00CF0F8C">
            <w:pPr>
              <w:widowControl/>
              <w:autoSpaceDE/>
              <w:autoSpaceDN/>
              <w:jc w:val="right"/>
              <w:outlineLvl w:val="0"/>
              <w:rPr>
                <w:rFonts w:ascii="Arial" w:hAnsi="Arial" w:cs="Arial"/>
                <w:b/>
                <w:bCs/>
                <w:sz w:val="20"/>
                <w:szCs w:val="20"/>
                <w:lang w:val="et-EE" w:eastAsia="et-EE"/>
              </w:rPr>
            </w:pPr>
            <w:r w:rsidRPr="00CF0F8C">
              <w:rPr>
                <w:rFonts w:ascii="Arial" w:hAnsi="Arial" w:cs="Arial"/>
                <w:b/>
                <w:bCs/>
                <w:sz w:val="20"/>
                <w:szCs w:val="20"/>
                <w:lang w:val="et-EE" w:eastAsia="et-EE"/>
              </w:rPr>
              <w:t>720 780</w:t>
            </w:r>
          </w:p>
        </w:tc>
        <w:tc>
          <w:tcPr>
            <w:tcW w:w="986" w:type="dxa"/>
            <w:tcBorders>
              <w:top w:val="nil"/>
              <w:left w:val="nil"/>
              <w:bottom w:val="single" w:sz="4" w:space="0" w:color="auto"/>
              <w:right w:val="single" w:sz="4" w:space="0" w:color="auto"/>
            </w:tcBorders>
            <w:shd w:val="clear" w:color="auto" w:fill="auto"/>
            <w:vAlign w:val="bottom"/>
            <w:hideMark/>
          </w:tcPr>
          <w:p w:rsidR="00CF0F8C" w:rsidRPr="00CF0F8C" w:rsidRDefault="00CF0F8C" w:rsidP="00CF0F8C">
            <w:pPr>
              <w:widowControl/>
              <w:autoSpaceDE/>
              <w:autoSpaceDN/>
              <w:jc w:val="right"/>
              <w:outlineLvl w:val="0"/>
              <w:rPr>
                <w:rFonts w:ascii="Arial" w:hAnsi="Arial" w:cs="Arial"/>
                <w:b/>
                <w:bCs/>
                <w:sz w:val="20"/>
                <w:szCs w:val="20"/>
                <w:lang w:val="et-EE" w:eastAsia="et-EE"/>
              </w:rPr>
            </w:pPr>
            <w:r w:rsidRPr="00CF0F8C">
              <w:rPr>
                <w:rFonts w:ascii="Arial" w:hAnsi="Arial" w:cs="Arial"/>
                <w:b/>
                <w:bCs/>
                <w:sz w:val="20"/>
                <w:szCs w:val="20"/>
                <w:lang w:val="et-EE" w:eastAsia="et-EE"/>
              </w:rPr>
              <w:t>710 000</w:t>
            </w:r>
          </w:p>
        </w:tc>
        <w:tc>
          <w:tcPr>
            <w:tcW w:w="1127" w:type="dxa"/>
            <w:tcBorders>
              <w:top w:val="nil"/>
              <w:left w:val="nil"/>
              <w:bottom w:val="single" w:sz="4" w:space="0" w:color="auto"/>
              <w:right w:val="single" w:sz="4" w:space="0" w:color="auto"/>
            </w:tcBorders>
            <w:shd w:val="clear" w:color="auto" w:fill="auto"/>
            <w:vAlign w:val="bottom"/>
            <w:hideMark/>
          </w:tcPr>
          <w:p w:rsidR="00CF0F8C" w:rsidRPr="00CF0F8C" w:rsidRDefault="00CF0F8C" w:rsidP="00CF0F8C">
            <w:pPr>
              <w:widowControl/>
              <w:autoSpaceDE/>
              <w:autoSpaceDN/>
              <w:jc w:val="right"/>
              <w:outlineLvl w:val="0"/>
              <w:rPr>
                <w:rFonts w:ascii="Arial" w:hAnsi="Arial" w:cs="Arial"/>
                <w:b/>
                <w:bCs/>
                <w:sz w:val="20"/>
                <w:szCs w:val="20"/>
                <w:lang w:val="et-EE" w:eastAsia="et-EE"/>
              </w:rPr>
            </w:pPr>
            <w:r w:rsidRPr="00CF0F8C">
              <w:rPr>
                <w:rFonts w:ascii="Arial" w:hAnsi="Arial" w:cs="Arial"/>
                <w:b/>
                <w:bCs/>
                <w:sz w:val="20"/>
                <w:szCs w:val="20"/>
                <w:lang w:val="et-EE" w:eastAsia="et-EE"/>
              </w:rPr>
              <w:t>710 000</w:t>
            </w:r>
          </w:p>
        </w:tc>
        <w:tc>
          <w:tcPr>
            <w:tcW w:w="1172" w:type="dxa"/>
            <w:tcBorders>
              <w:top w:val="nil"/>
              <w:left w:val="nil"/>
              <w:bottom w:val="single" w:sz="4" w:space="0" w:color="auto"/>
              <w:right w:val="single" w:sz="4" w:space="0" w:color="auto"/>
            </w:tcBorders>
            <w:shd w:val="clear" w:color="auto" w:fill="auto"/>
            <w:vAlign w:val="bottom"/>
            <w:hideMark/>
          </w:tcPr>
          <w:p w:rsidR="00CF0F8C" w:rsidRPr="00CF0F8C" w:rsidRDefault="00CF0F8C" w:rsidP="00CF0F8C">
            <w:pPr>
              <w:widowControl/>
              <w:autoSpaceDE/>
              <w:autoSpaceDN/>
              <w:jc w:val="right"/>
              <w:outlineLvl w:val="0"/>
              <w:rPr>
                <w:rFonts w:ascii="Arial" w:hAnsi="Arial" w:cs="Arial"/>
                <w:b/>
                <w:bCs/>
                <w:sz w:val="20"/>
                <w:szCs w:val="20"/>
                <w:lang w:val="et-EE" w:eastAsia="et-EE"/>
              </w:rPr>
            </w:pPr>
            <w:r w:rsidRPr="00CF0F8C">
              <w:rPr>
                <w:rFonts w:ascii="Arial" w:hAnsi="Arial" w:cs="Arial"/>
                <w:b/>
                <w:bCs/>
                <w:sz w:val="20"/>
                <w:szCs w:val="20"/>
                <w:lang w:val="et-EE" w:eastAsia="et-EE"/>
              </w:rPr>
              <w:t>710 000</w:t>
            </w:r>
          </w:p>
        </w:tc>
        <w:tc>
          <w:tcPr>
            <w:tcW w:w="960" w:type="dxa"/>
            <w:tcBorders>
              <w:top w:val="nil"/>
              <w:left w:val="nil"/>
              <w:bottom w:val="single" w:sz="4" w:space="0" w:color="auto"/>
              <w:right w:val="single" w:sz="8" w:space="0" w:color="auto"/>
            </w:tcBorders>
            <w:shd w:val="clear" w:color="auto" w:fill="auto"/>
            <w:vAlign w:val="bottom"/>
            <w:hideMark/>
          </w:tcPr>
          <w:p w:rsidR="00CF0F8C" w:rsidRPr="00CF0F8C" w:rsidRDefault="00CF0F8C" w:rsidP="00CF0F8C">
            <w:pPr>
              <w:widowControl/>
              <w:autoSpaceDE/>
              <w:autoSpaceDN/>
              <w:jc w:val="right"/>
              <w:outlineLvl w:val="0"/>
              <w:rPr>
                <w:rFonts w:ascii="Arial" w:hAnsi="Arial" w:cs="Arial"/>
                <w:b/>
                <w:bCs/>
                <w:sz w:val="20"/>
                <w:szCs w:val="20"/>
                <w:lang w:val="et-EE" w:eastAsia="et-EE"/>
              </w:rPr>
            </w:pPr>
            <w:r w:rsidRPr="00CF0F8C">
              <w:rPr>
                <w:rFonts w:ascii="Arial" w:hAnsi="Arial" w:cs="Arial"/>
                <w:b/>
                <w:bCs/>
                <w:sz w:val="20"/>
                <w:szCs w:val="20"/>
                <w:lang w:val="et-EE" w:eastAsia="et-EE"/>
              </w:rPr>
              <w:t>710 000</w:t>
            </w:r>
          </w:p>
        </w:tc>
      </w:tr>
      <w:tr w:rsidR="00CF0F8C" w:rsidRPr="00CF0F8C" w:rsidTr="00FA1C99">
        <w:trPr>
          <w:trHeight w:val="197"/>
        </w:trPr>
        <w:tc>
          <w:tcPr>
            <w:tcW w:w="4783" w:type="dxa"/>
            <w:tcBorders>
              <w:top w:val="nil"/>
              <w:left w:val="single" w:sz="4" w:space="0" w:color="auto"/>
              <w:bottom w:val="single" w:sz="4" w:space="0" w:color="auto"/>
              <w:right w:val="single" w:sz="4" w:space="0" w:color="auto"/>
            </w:tcBorders>
            <w:shd w:val="clear" w:color="auto" w:fill="auto"/>
            <w:noWrap/>
            <w:vAlign w:val="center"/>
            <w:hideMark/>
          </w:tcPr>
          <w:p w:rsidR="00CF0F8C" w:rsidRPr="00CF0F8C" w:rsidRDefault="00CF0F8C" w:rsidP="00CF0F8C">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Põhitegevustulem</w:t>
            </w:r>
          </w:p>
        </w:tc>
        <w:tc>
          <w:tcPr>
            <w:tcW w:w="1127" w:type="dxa"/>
            <w:tcBorders>
              <w:top w:val="nil"/>
              <w:left w:val="nil"/>
              <w:bottom w:val="single" w:sz="4" w:space="0" w:color="auto"/>
              <w:right w:val="single" w:sz="4" w:space="0" w:color="auto"/>
            </w:tcBorders>
            <w:shd w:val="clear" w:color="000000" w:fill="C0C0C0"/>
            <w:vAlign w:val="bottom"/>
            <w:hideMark/>
          </w:tcPr>
          <w:p w:rsidR="00CF0F8C" w:rsidRPr="00CF0F8C" w:rsidRDefault="00CF0F8C" w:rsidP="00CF0F8C">
            <w:pPr>
              <w:widowControl/>
              <w:autoSpaceDE/>
              <w:autoSpaceDN/>
              <w:jc w:val="right"/>
              <w:outlineLvl w:val="0"/>
              <w:rPr>
                <w:rFonts w:ascii="Arial" w:hAnsi="Arial" w:cs="Arial"/>
                <w:b/>
                <w:bCs/>
                <w:sz w:val="20"/>
                <w:szCs w:val="20"/>
                <w:lang w:val="et-EE" w:eastAsia="et-EE"/>
              </w:rPr>
            </w:pPr>
            <w:r w:rsidRPr="00CF0F8C">
              <w:rPr>
                <w:rFonts w:ascii="Arial" w:hAnsi="Arial" w:cs="Arial"/>
                <w:b/>
                <w:bCs/>
                <w:sz w:val="20"/>
                <w:szCs w:val="20"/>
                <w:lang w:val="et-EE" w:eastAsia="et-EE"/>
              </w:rPr>
              <w:t>-12 780</w:t>
            </w:r>
          </w:p>
        </w:tc>
        <w:tc>
          <w:tcPr>
            <w:tcW w:w="986" w:type="dxa"/>
            <w:tcBorders>
              <w:top w:val="nil"/>
              <w:left w:val="nil"/>
              <w:bottom w:val="single" w:sz="4" w:space="0" w:color="auto"/>
              <w:right w:val="single" w:sz="4" w:space="0" w:color="auto"/>
            </w:tcBorders>
            <w:shd w:val="clear" w:color="000000" w:fill="C0C0C0"/>
            <w:vAlign w:val="bottom"/>
            <w:hideMark/>
          </w:tcPr>
          <w:p w:rsidR="00CF0F8C" w:rsidRPr="00CF0F8C" w:rsidRDefault="00CF0F8C" w:rsidP="00CF0F8C">
            <w:pPr>
              <w:widowControl/>
              <w:autoSpaceDE/>
              <w:autoSpaceDN/>
              <w:jc w:val="right"/>
              <w:outlineLvl w:val="0"/>
              <w:rPr>
                <w:rFonts w:ascii="Arial" w:hAnsi="Arial" w:cs="Arial"/>
                <w:b/>
                <w:bCs/>
                <w:sz w:val="20"/>
                <w:szCs w:val="20"/>
                <w:lang w:val="et-EE" w:eastAsia="et-EE"/>
              </w:rPr>
            </w:pPr>
            <w:r w:rsidRPr="00CF0F8C">
              <w:rPr>
                <w:rFonts w:ascii="Arial" w:hAnsi="Arial" w:cs="Arial"/>
                <w:b/>
                <w:bCs/>
                <w:sz w:val="20"/>
                <w:szCs w:val="20"/>
                <w:lang w:val="et-EE" w:eastAsia="et-EE"/>
              </w:rPr>
              <w:t>5 000</w:t>
            </w:r>
          </w:p>
        </w:tc>
        <w:tc>
          <w:tcPr>
            <w:tcW w:w="1127" w:type="dxa"/>
            <w:tcBorders>
              <w:top w:val="nil"/>
              <w:left w:val="nil"/>
              <w:bottom w:val="single" w:sz="4" w:space="0" w:color="auto"/>
              <w:right w:val="single" w:sz="4" w:space="0" w:color="auto"/>
            </w:tcBorders>
            <w:shd w:val="clear" w:color="000000" w:fill="C0C0C0"/>
            <w:vAlign w:val="bottom"/>
            <w:hideMark/>
          </w:tcPr>
          <w:p w:rsidR="00CF0F8C" w:rsidRPr="00CF0F8C" w:rsidRDefault="00CF0F8C" w:rsidP="00CF0F8C">
            <w:pPr>
              <w:widowControl/>
              <w:autoSpaceDE/>
              <w:autoSpaceDN/>
              <w:jc w:val="right"/>
              <w:outlineLvl w:val="0"/>
              <w:rPr>
                <w:rFonts w:ascii="Arial" w:hAnsi="Arial" w:cs="Arial"/>
                <w:b/>
                <w:bCs/>
                <w:sz w:val="20"/>
                <w:szCs w:val="20"/>
                <w:lang w:val="et-EE" w:eastAsia="et-EE"/>
              </w:rPr>
            </w:pPr>
            <w:r w:rsidRPr="00CF0F8C">
              <w:rPr>
                <w:rFonts w:ascii="Arial" w:hAnsi="Arial" w:cs="Arial"/>
                <w:b/>
                <w:bCs/>
                <w:sz w:val="20"/>
                <w:szCs w:val="20"/>
                <w:lang w:val="et-EE" w:eastAsia="et-EE"/>
              </w:rPr>
              <w:t>10 000</w:t>
            </w:r>
          </w:p>
        </w:tc>
        <w:tc>
          <w:tcPr>
            <w:tcW w:w="1172" w:type="dxa"/>
            <w:tcBorders>
              <w:top w:val="nil"/>
              <w:left w:val="nil"/>
              <w:bottom w:val="single" w:sz="4" w:space="0" w:color="auto"/>
              <w:right w:val="single" w:sz="4" w:space="0" w:color="auto"/>
            </w:tcBorders>
            <w:shd w:val="clear" w:color="000000" w:fill="C0C0C0"/>
            <w:vAlign w:val="bottom"/>
            <w:hideMark/>
          </w:tcPr>
          <w:p w:rsidR="00CF0F8C" w:rsidRPr="00CF0F8C" w:rsidRDefault="00CF0F8C" w:rsidP="00CF0F8C">
            <w:pPr>
              <w:widowControl/>
              <w:autoSpaceDE/>
              <w:autoSpaceDN/>
              <w:jc w:val="right"/>
              <w:outlineLvl w:val="0"/>
              <w:rPr>
                <w:rFonts w:ascii="Arial" w:hAnsi="Arial" w:cs="Arial"/>
                <w:b/>
                <w:bCs/>
                <w:sz w:val="20"/>
                <w:szCs w:val="20"/>
                <w:lang w:val="et-EE" w:eastAsia="et-EE"/>
              </w:rPr>
            </w:pPr>
            <w:r w:rsidRPr="00CF0F8C">
              <w:rPr>
                <w:rFonts w:ascii="Arial" w:hAnsi="Arial" w:cs="Arial"/>
                <w:b/>
                <w:bCs/>
                <w:sz w:val="20"/>
                <w:szCs w:val="20"/>
                <w:lang w:val="et-EE" w:eastAsia="et-EE"/>
              </w:rPr>
              <w:t>15 000</w:t>
            </w:r>
          </w:p>
        </w:tc>
        <w:tc>
          <w:tcPr>
            <w:tcW w:w="960" w:type="dxa"/>
            <w:tcBorders>
              <w:top w:val="nil"/>
              <w:left w:val="nil"/>
              <w:bottom w:val="single" w:sz="4" w:space="0" w:color="auto"/>
              <w:right w:val="single" w:sz="8" w:space="0" w:color="auto"/>
            </w:tcBorders>
            <w:shd w:val="clear" w:color="000000" w:fill="C0C0C0"/>
            <w:vAlign w:val="bottom"/>
            <w:hideMark/>
          </w:tcPr>
          <w:p w:rsidR="00CF0F8C" w:rsidRPr="00CF0F8C" w:rsidRDefault="00CF0F8C" w:rsidP="00CF0F8C">
            <w:pPr>
              <w:widowControl/>
              <w:autoSpaceDE/>
              <w:autoSpaceDN/>
              <w:jc w:val="right"/>
              <w:outlineLvl w:val="0"/>
              <w:rPr>
                <w:rFonts w:ascii="Arial" w:hAnsi="Arial" w:cs="Arial"/>
                <w:b/>
                <w:bCs/>
                <w:sz w:val="20"/>
                <w:szCs w:val="20"/>
                <w:lang w:val="et-EE" w:eastAsia="et-EE"/>
              </w:rPr>
            </w:pPr>
            <w:r w:rsidRPr="00CF0F8C">
              <w:rPr>
                <w:rFonts w:ascii="Arial" w:hAnsi="Arial" w:cs="Arial"/>
                <w:b/>
                <w:bCs/>
                <w:sz w:val="20"/>
                <w:szCs w:val="20"/>
                <w:lang w:val="et-EE" w:eastAsia="et-EE"/>
              </w:rPr>
              <w:t>20 000</w:t>
            </w:r>
          </w:p>
        </w:tc>
      </w:tr>
      <w:tr w:rsidR="00CF0F8C" w:rsidRPr="00CF0F8C" w:rsidTr="00FA1C99">
        <w:trPr>
          <w:trHeight w:val="197"/>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CF0F8C" w:rsidRPr="00CF0F8C" w:rsidRDefault="00CF0F8C" w:rsidP="00CF0F8C">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Investeerimistegevus kokku (+/-)</w:t>
            </w:r>
          </w:p>
        </w:tc>
        <w:tc>
          <w:tcPr>
            <w:tcW w:w="1127" w:type="dxa"/>
            <w:tcBorders>
              <w:top w:val="nil"/>
              <w:left w:val="nil"/>
              <w:bottom w:val="single" w:sz="4" w:space="0" w:color="auto"/>
              <w:right w:val="single" w:sz="4" w:space="0" w:color="auto"/>
            </w:tcBorders>
            <w:shd w:val="clear" w:color="auto" w:fill="auto"/>
            <w:vAlign w:val="bottom"/>
            <w:hideMark/>
          </w:tcPr>
          <w:p w:rsidR="00CF0F8C" w:rsidRPr="00CF0F8C" w:rsidRDefault="00CF0F8C" w:rsidP="00CF0F8C">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 </w:t>
            </w:r>
          </w:p>
        </w:tc>
        <w:tc>
          <w:tcPr>
            <w:tcW w:w="986" w:type="dxa"/>
            <w:tcBorders>
              <w:top w:val="nil"/>
              <w:left w:val="nil"/>
              <w:bottom w:val="single" w:sz="4" w:space="0" w:color="auto"/>
              <w:right w:val="single" w:sz="4" w:space="0" w:color="auto"/>
            </w:tcBorders>
            <w:shd w:val="clear" w:color="auto" w:fill="auto"/>
            <w:vAlign w:val="bottom"/>
            <w:hideMark/>
          </w:tcPr>
          <w:p w:rsidR="00CF0F8C" w:rsidRPr="00CF0F8C" w:rsidRDefault="00CF0F8C" w:rsidP="00CF0F8C">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 </w:t>
            </w:r>
          </w:p>
        </w:tc>
        <w:tc>
          <w:tcPr>
            <w:tcW w:w="1127" w:type="dxa"/>
            <w:tcBorders>
              <w:top w:val="nil"/>
              <w:left w:val="nil"/>
              <w:bottom w:val="single" w:sz="4" w:space="0" w:color="auto"/>
              <w:right w:val="single" w:sz="4" w:space="0" w:color="auto"/>
            </w:tcBorders>
            <w:shd w:val="clear" w:color="auto" w:fill="auto"/>
            <w:vAlign w:val="bottom"/>
            <w:hideMark/>
          </w:tcPr>
          <w:p w:rsidR="00CF0F8C" w:rsidRPr="00CF0F8C" w:rsidRDefault="00CF0F8C" w:rsidP="00CF0F8C">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 </w:t>
            </w:r>
          </w:p>
        </w:tc>
        <w:tc>
          <w:tcPr>
            <w:tcW w:w="1172" w:type="dxa"/>
            <w:tcBorders>
              <w:top w:val="nil"/>
              <w:left w:val="nil"/>
              <w:bottom w:val="single" w:sz="4" w:space="0" w:color="auto"/>
              <w:right w:val="single" w:sz="4" w:space="0" w:color="auto"/>
            </w:tcBorders>
            <w:shd w:val="clear" w:color="auto" w:fill="auto"/>
            <w:vAlign w:val="bottom"/>
            <w:hideMark/>
          </w:tcPr>
          <w:p w:rsidR="00CF0F8C" w:rsidRPr="00CF0F8C" w:rsidRDefault="00CF0F8C" w:rsidP="00CF0F8C">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 </w:t>
            </w:r>
          </w:p>
        </w:tc>
        <w:tc>
          <w:tcPr>
            <w:tcW w:w="960" w:type="dxa"/>
            <w:tcBorders>
              <w:top w:val="nil"/>
              <w:left w:val="nil"/>
              <w:bottom w:val="single" w:sz="4" w:space="0" w:color="auto"/>
              <w:right w:val="single" w:sz="8" w:space="0" w:color="auto"/>
            </w:tcBorders>
            <w:shd w:val="clear" w:color="auto" w:fill="auto"/>
            <w:vAlign w:val="bottom"/>
            <w:hideMark/>
          </w:tcPr>
          <w:p w:rsidR="00CF0F8C" w:rsidRPr="00CF0F8C" w:rsidRDefault="00CF0F8C" w:rsidP="00CF0F8C">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 </w:t>
            </w:r>
          </w:p>
        </w:tc>
      </w:tr>
      <w:tr w:rsidR="00CF0F8C" w:rsidRPr="00CF0F8C" w:rsidTr="00FA1C99">
        <w:trPr>
          <w:trHeight w:val="197"/>
        </w:trPr>
        <w:tc>
          <w:tcPr>
            <w:tcW w:w="4783" w:type="dxa"/>
            <w:tcBorders>
              <w:top w:val="nil"/>
              <w:left w:val="single" w:sz="8" w:space="0" w:color="auto"/>
              <w:bottom w:val="single" w:sz="4" w:space="0" w:color="auto"/>
              <w:right w:val="single" w:sz="4" w:space="0" w:color="auto"/>
            </w:tcBorders>
            <w:shd w:val="clear" w:color="auto" w:fill="auto"/>
            <w:vAlign w:val="bottom"/>
            <w:hideMark/>
          </w:tcPr>
          <w:p w:rsidR="00CF0F8C" w:rsidRPr="00CF0F8C" w:rsidRDefault="00CF0F8C" w:rsidP="00CF0F8C">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Eelarve tulem</w:t>
            </w:r>
          </w:p>
        </w:tc>
        <w:tc>
          <w:tcPr>
            <w:tcW w:w="1127" w:type="dxa"/>
            <w:tcBorders>
              <w:top w:val="nil"/>
              <w:left w:val="nil"/>
              <w:bottom w:val="single" w:sz="4" w:space="0" w:color="auto"/>
              <w:right w:val="single" w:sz="4" w:space="0" w:color="auto"/>
            </w:tcBorders>
            <w:shd w:val="clear" w:color="000000" w:fill="C0C0C0"/>
            <w:vAlign w:val="bottom"/>
            <w:hideMark/>
          </w:tcPr>
          <w:p w:rsidR="00CF0F8C" w:rsidRPr="00CF0F8C" w:rsidRDefault="00CF0F8C" w:rsidP="00CF0F8C">
            <w:pPr>
              <w:widowControl/>
              <w:autoSpaceDE/>
              <w:autoSpaceDN/>
              <w:jc w:val="right"/>
              <w:outlineLvl w:val="0"/>
              <w:rPr>
                <w:rFonts w:ascii="Arial" w:hAnsi="Arial" w:cs="Arial"/>
                <w:b/>
                <w:bCs/>
                <w:sz w:val="20"/>
                <w:szCs w:val="20"/>
                <w:lang w:val="et-EE" w:eastAsia="et-EE"/>
              </w:rPr>
            </w:pPr>
            <w:r w:rsidRPr="00CF0F8C">
              <w:rPr>
                <w:rFonts w:ascii="Arial" w:hAnsi="Arial" w:cs="Arial"/>
                <w:b/>
                <w:bCs/>
                <w:sz w:val="20"/>
                <w:szCs w:val="20"/>
                <w:lang w:val="et-EE" w:eastAsia="et-EE"/>
              </w:rPr>
              <w:t>-12 780</w:t>
            </w:r>
          </w:p>
        </w:tc>
        <w:tc>
          <w:tcPr>
            <w:tcW w:w="986" w:type="dxa"/>
            <w:tcBorders>
              <w:top w:val="nil"/>
              <w:left w:val="nil"/>
              <w:bottom w:val="single" w:sz="4" w:space="0" w:color="auto"/>
              <w:right w:val="single" w:sz="4" w:space="0" w:color="auto"/>
            </w:tcBorders>
            <w:shd w:val="clear" w:color="000000" w:fill="C0C0C0"/>
            <w:vAlign w:val="bottom"/>
            <w:hideMark/>
          </w:tcPr>
          <w:p w:rsidR="00CF0F8C" w:rsidRPr="00CF0F8C" w:rsidRDefault="00CF0F8C" w:rsidP="00CF0F8C">
            <w:pPr>
              <w:widowControl/>
              <w:autoSpaceDE/>
              <w:autoSpaceDN/>
              <w:jc w:val="right"/>
              <w:outlineLvl w:val="0"/>
              <w:rPr>
                <w:rFonts w:ascii="Arial" w:hAnsi="Arial" w:cs="Arial"/>
                <w:b/>
                <w:bCs/>
                <w:sz w:val="20"/>
                <w:szCs w:val="20"/>
                <w:lang w:val="et-EE" w:eastAsia="et-EE"/>
              </w:rPr>
            </w:pPr>
            <w:r w:rsidRPr="00CF0F8C">
              <w:rPr>
                <w:rFonts w:ascii="Arial" w:hAnsi="Arial" w:cs="Arial"/>
                <w:b/>
                <w:bCs/>
                <w:sz w:val="20"/>
                <w:szCs w:val="20"/>
                <w:lang w:val="et-EE" w:eastAsia="et-EE"/>
              </w:rPr>
              <w:t>5 000</w:t>
            </w:r>
          </w:p>
        </w:tc>
        <w:tc>
          <w:tcPr>
            <w:tcW w:w="1127" w:type="dxa"/>
            <w:tcBorders>
              <w:top w:val="nil"/>
              <w:left w:val="nil"/>
              <w:bottom w:val="single" w:sz="4" w:space="0" w:color="auto"/>
              <w:right w:val="single" w:sz="4" w:space="0" w:color="auto"/>
            </w:tcBorders>
            <w:shd w:val="clear" w:color="000000" w:fill="C0C0C0"/>
            <w:vAlign w:val="bottom"/>
            <w:hideMark/>
          </w:tcPr>
          <w:p w:rsidR="00CF0F8C" w:rsidRPr="00CF0F8C" w:rsidRDefault="00CF0F8C" w:rsidP="00CF0F8C">
            <w:pPr>
              <w:widowControl/>
              <w:autoSpaceDE/>
              <w:autoSpaceDN/>
              <w:jc w:val="right"/>
              <w:outlineLvl w:val="0"/>
              <w:rPr>
                <w:rFonts w:ascii="Arial" w:hAnsi="Arial" w:cs="Arial"/>
                <w:b/>
                <w:bCs/>
                <w:sz w:val="20"/>
                <w:szCs w:val="20"/>
                <w:lang w:val="et-EE" w:eastAsia="et-EE"/>
              </w:rPr>
            </w:pPr>
            <w:r w:rsidRPr="00CF0F8C">
              <w:rPr>
                <w:rFonts w:ascii="Arial" w:hAnsi="Arial" w:cs="Arial"/>
                <w:b/>
                <w:bCs/>
                <w:sz w:val="20"/>
                <w:szCs w:val="20"/>
                <w:lang w:val="et-EE" w:eastAsia="et-EE"/>
              </w:rPr>
              <w:t>10 000</w:t>
            </w:r>
          </w:p>
        </w:tc>
        <w:tc>
          <w:tcPr>
            <w:tcW w:w="1172" w:type="dxa"/>
            <w:tcBorders>
              <w:top w:val="nil"/>
              <w:left w:val="nil"/>
              <w:bottom w:val="single" w:sz="4" w:space="0" w:color="auto"/>
              <w:right w:val="single" w:sz="4" w:space="0" w:color="auto"/>
            </w:tcBorders>
            <w:shd w:val="clear" w:color="000000" w:fill="C0C0C0"/>
            <w:vAlign w:val="bottom"/>
            <w:hideMark/>
          </w:tcPr>
          <w:p w:rsidR="00CF0F8C" w:rsidRPr="00CF0F8C" w:rsidRDefault="00CF0F8C" w:rsidP="00CF0F8C">
            <w:pPr>
              <w:widowControl/>
              <w:autoSpaceDE/>
              <w:autoSpaceDN/>
              <w:jc w:val="right"/>
              <w:outlineLvl w:val="0"/>
              <w:rPr>
                <w:rFonts w:ascii="Arial" w:hAnsi="Arial" w:cs="Arial"/>
                <w:b/>
                <w:bCs/>
                <w:sz w:val="20"/>
                <w:szCs w:val="20"/>
                <w:lang w:val="et-EE" w:eastAsia="et-EE"/>
              </w:rPr>
            </w:pPr>
            <w:r w:rsidRPr="00CF0F8C">
              <w:rPr>
                <w:rFonts w:ascii="Arial" w:hAnsi="Arial" w:cs="Arial"/>
                <w:b/>
                <w:bCs/>
                <w:sz w:val="20"/>
                <w:szCs w:val="20"/>
                <w:lang w:val="et-EE" w:eastAsia="et-EE"/>
              </w:rPr>
              <w:t>15 000</w:t>
            </w:r>
          </w:p>
        </w:tc>
        <w:tc>
          <w:tcPr>
            <w:tcW w:w="960" w:type="dxa"/>
            <w:tcBorders>
              <w:top w:val="nil"/>
              <w:left w:val="nil"/>
              <w:bottom w:val="single" w:sz="4" w:space="0" w:color="auto"/>
              <w:right w:val="single" w:sz="8" w:space="0" w:color="auto"/>
            </w:tcBorders>
            <w:shd w:val="clear" w:color="000000" w:fill="C0C0C0"/>
            <w:vAlign w:val="bottom"/>
            <w:hideMark/>
          </w:tcPr>
          <w:p w:rsidR="00CF0F8C" w:rsidRPr="00CF0F8C" w:rsidRDefault="00CF0F8C" w:rsidP="00CF0F8C">
            <w:pPr>
              <w:widowControl/>
              <w:autoSpaceDE/>
              <w:autoSpaceDN/>
              <w:jc w:val="right"/>
              <w:outlineLvl w:val="0"/>
              <w:rPr>
                <w:rFonts w:ascii="Arial" w:hAnsi="Arial" w:cs="Arial"/>
                <w:b/>
                <w:bCs/>
                <w:sz w:val="20"/>
                <w:szCs w:val="20"/>
                <w:lang w:val="et-EE" w:eastAsia="et-EE"/>
              </w:rPr>
            </w:pPr>
            <w:r w:rsidRPr="00CF0F8C">
              <w:rPr>
                <w:rFonts w:ascii="Arial" w:hAnsi="Arial" w:cs="Arial"/>
                <w:b/>
                <w:bCs/>
                <w:sz w:val="20"/>
                <w:szCs w:val="20"/>
                <w:lang w:val="et-EE" w:eastAsia="et-EE"/>
              </w:rPr>
              <w:t>20 000</w:t>
            </w:r>
          </w:p>
        </w:tc>
      </w:tr>
      <w:tr w:rsidR="00CF0F8C" w:rsidRPr="00CF0F8C" w:rsidTr="00FA1C99">
        <w:trPr>
          <w:trHeight w:val="197"/>
        </w:trPr>
        <w:tc>
          <w:tcPr>
            <w:tcW w:w="4783" w:type="dxa"/>
            <w:tcBorders>
              <w:top w:val="nil"/>
              <w:left w:val="single" w:sz="8" w:space="0" w:color="auto"/>
              <w:bottom w:val="single" w:sz="4" w:space="0" w:color="auto"/>
              <w:right w:val="single" w:sz="4" w:space="0" w:color="auto"/>
            </w:tcBorders>
            <w:shd w:val="clear" w:color="auto" w:fill="auto"/>
            <w:vAlign w:val="bottom"/>
            <w:hideMark/>
          </w:tcPr>
          <w:p w:rsidR="00CF0F8C" w:rsidRPr="00CF0F8C" w:rsidRDefault="00CF0F8C" w:rsidP="00CF0F8C">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Finantseerimistegevus (-/+)</w:t>
            </w:r>
          </w:p>
        </w:tc>
        <w:tc>
          <w:tcPr>
            <w:tcW w:w="1127" w:type="dxa"/>
            <w:tcBorders>
              <w:top w:val="nil"/>
              <w:left w:val="nil"/>
              <w:bottom w:val="single" w:sz="4" w:space="0" w:color="auto"/>
              <w:right w:val="single" w:sz="4" w:space="0" w:color="auto"/>
            </w:tcBorders>
            <w:shd w:val="clear" w:color="auto" w:fill="auto"/>
            <w:vAlign w:val="bottom"/>
            <w:hideMark/>
          </w:tcPr>
          <w:p w:rsidR="00CF0F8C" w:rsidRPr="00CF0F8C" w:rsidRDefault="00CF0F8C" w:rsidP="00CF0F8C">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 </w:t>
            </w:r>
          </w:p>
        </w:tc>
        <w:tc>
          <w:tcPr>
            <w:tcW w:w="986" w:type="dxa"/>
            <w:tcBorders>
              <w:top w:val="nil"/>
              <w:left w:val="nil"/>
              <w:bottom w:val="single" w:sz="4" w:space="0" w:color="auto"/>
              <w:right w:val="single" w:sz="4" w:space="0" w:color="auto"/>
            </w:tcBorders>
            <w:shd w:val="clear" w:color="auto" w:fill="auto"/>
            <w:vAlign w:val="bottom"/>
            <w:hideMark/>
          </w:tcPr>
          <w:p w:rsidR="00CF0F8C" w:rsidRPr="00CF0F8C" w:rsidRDefault="00CF0F8C" w:rsidP="00CF0F8C">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 </w:t>
            </w:r>
          </w:p>
        </w:tc>
        <w:tc>
          <w:tcPr>
            <w:tcW w:w="1127" w:type="dxa"/>
            <w:tcBorders>
              <w:top w:val="nil"/>
              <w:left w:val="nil"/>
              <w:bottom w:val="single" w:sz="4" w:space="0" w:color="auto"/>
              <w:right w:val="single" w:sz="4" w:space="0" w:color="auto"/>
            </w:tcBorders>
            <w:shd w:val="clear" w:color="auto" w:fill="auto"/>
            <w:vAlign w:val="bottom"/>
            <w:hideMark/>
          </w:tcPr>
          <w:p w:rsidR="00CF0F8C" w:rsidRPr="00CF0F8C" w:rsidRDefault="00CF0F8C" w:rsidP="00CF0F8C">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 </w:t>
            </w:r>
          </w:p>
        </w:tc>
        <w:tc>
          <w:tcPr>
            <w:tcW w:w="1172" w:type="dxa"/>
            <w:tcBorders>
              <w:top w:val="nil"/>
              <w:left w:val="nil"/>
              <w:bottom w:val="single" w:sz="4" w:space="0" w:color="auto"/>
              <w:right w:val="single" w:sz="4" w:space="0" w:color="auto"/>
            </w:tcBorders>
            <w:shd w:val="clear" w:color="auto" w:fill="auto"/>
            <w:vAlign w:val="bottom"/>
            <w:hideMark/>
          </w:tcPr>
          <w:p w:rsidR="00CF0F8C" w:rsidRPr="00CF0F8C" w:rsidRDefault="00CF0F8C" w:rsidP="00CF0F8C">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 </w:t>
            </w:r>
          </w:p>
        </w:tc>
        <w:tc>
          <w:tcPr>
            <w:tcW w:w="960" w:type="dxa"/>
            <w:tcBorders>
              <w:top w:val="nil"/>
              <w:left w:val="nil"/>
              <w:bottom w:val="single" w:sz="4" w:space="0" w:color="auto"/>
              <w:right w:val="single" w:sz="8" w:space="0" w:color="auto"/>
            </w:tcBorders>
            <w:shd w:val="clear" w:color="auto" w:fill="auto"/>
            <w:vAlign w:val="bottom"/>
            <w:hideMark/>
          </w:tcPr>
          <w:p w:rsidR="00CF0F8C" w:rsidRPr="00CF0F8C" w:rsidRDefault="00CF0F8C" w:rsidP="00CF0F8C">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 </w:t>
            </w:r>
          </w:p>
        </w:tc>
      </w:tr>
      <w:tr w:rsidR="00CF0F8C" w:rsidRPr="00CF0F8C" w:rsidTr="00FA1C99">
        <w:trPr>
          <w:trHeight w:val="396"/>
        </w:trPr>
        <w:tc>
          <w:tcPr>
            <w:tcW w:w="4783" w:type="dxa"/>
            <w:tcBorders>
              <w:top w:val="nil"/>
              <w:left w:val="single" w:sz="8" w:space="0" w:color="auto"/>
              <w:bottom w:val="single" w:sz="4" w:space="0" w:color="auto"/>
              <w:right w:val="single" w:sz="4" w:space="0" w:color="auto"/>
            </w:tcBorders>
            <w:shd w:val="clear" w:color="auto" w:fill="auto"/>
            <w:vAlign w:val="bottom"/>
            <w:hideMark/>
          </w:tcPr>
          <w:p w:rsidR="00CF0F8C" w:rsidRPr="00CF0F8C" w:rsidRDefault="00CF0F8C" w:rsidP="00CF0F8C">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Likviidsete varade muutus (+ suurenemine, - vähenemine)</w:t>
            </w:r>
          </w:p>
        </w:tc>
        <w:tc>
          <w:tcPr>
            <w:tcW w:w="1127" w:type="dxa"/>
            <w:tcBorders>
              <w:top w:val="nil"/>
              <w:left w:val="nil"/>
              <w:bottom w:val="single" w:sz="4" w:space="0" w:color="auto"/>
              <w:right w:val="single" w:sz="4" w:space="0" w:color="auto"/>
            </w:tcBorders>
            <w:shd w:val="clear" w:color="auto" w:fill="auto"/>
            <w:noWrap/>
            <w:vAlign w:val="bottom"/>
            <w:hideMark/>
          </w:tcPr>
          <w:p w:rsidR="00CF0F8C" w:rsidRPr="00CF0F8C" w:rsidRDefault="00CF0F8C" w:rsidP="00CF0F8C">
            <w:pPr>
              <w:widowControl/>
              <w:autoSpaceDE/>
              <w:autoSpaceDN/>
              <w:jc w:val="right"/>
              <w:outlineLvl w:val="0"/>
              <w:rPr>
                <w:rFonts w:ascii="Arial" w:hAnsi="Arial" w:cs="Arial"/>
                <w:sz w:val="20"/>
                <w:szCs w:val="20"/>
                <w:lang w:val="et-EE" w:eastAsia="et-EE"/>
              </w:rPr>
            </w:pPr>
            <w:r w:rsidRPr="00CF0F8C">
              <w:rPr>
                <w:rFonts w:ascii="Arial" w:hAnsi="Arial" w:cs="Arial"/>
                <w:sz w:val="20"/>
                <w:szCs w:val="20"/>
                <w:lang w:val="et-EE" w:eastAsia="et-EE"/>
              </w:rPr>
              <w:t>-12 780</w:t>
            </w:r>
          </w:p>
        </w:tc>
        <w:tc>
          <w:tcPr>
            <w:tcW w:w="986" w:type="dxa"/>
            <w:tcBorders>
              <w:top w:val="nil"/>
              <w:left w:val="nil"/>
              <w:bottom w:val="single" w:sz="4" w:space="0" w:color="auto"/>
              <w:right w:val="single" w:sz="4" w:space="0" w:color="auto"/>
            </w:tcBorders>
            <w:shd w:val="clear" w:color="auto" w:fill="auto"/>
            <w:noWrap/>
            <w:vAlign w:val="bottom"/>
            <w:hideMark/>
          </w:tcPr>
          <w:p w:rsidR="00CF0F8C" w:rsidRPr="00CF0F8C" w:rsidRDefault="00CF0F8C" w:rsidP="00CF0F8C">
            <w:pPr>
              <w:widowControl/>
              <w:autoSpaceDE/>
              <w:autoSpaceDN/>
              <w:jc w:val="right"/>
              <w:outlineLvl w:val="0"/>
              <w:rPr>
                <w:rFonts w:ascii="Arial" w:hAnsi="Arial" w:cs="Arial"/>
                <w:sz w:val="20"/>
                <w:szCs w:val="20"/>
                <w:lang w:val="et-EE" w:eastAsia="et-EE"/>
              </w:rPr>
            </w:pPr>
            <w:r w:rsidRPr="00CF0F8C">
              <w:rPr>
                <w:rFonts w:ascii="Arial" w:hAnsi="Arial" w:cs="Arial"/>
                <w:sz w:val="20"/>
                <w:szCs w:val="20"/>
                <w:lang w:val="et-EE" w:eastAsia="et-EE"/>
              </w:rPr>
              <w:t>5 000</w:t>
            </w:r>
          </w:p>
        </w:tc>
        <w:tc>
          <w:tcPr>
            <w:tcW w:w="1127" w:type="dxa"/>
            <w:tcBorders>
              <w:top w:val="nil"/>
              <w:left w:val="nil"/>
              <w:bottom w:val="single" w:sz="4" w:space="0" w:color="auto"/>
              <w:right w:val="single" w:sz="4" w:space="0" w:color="auto"/>
            </w:tcBorders>
            <w:shd w:val="clear" w:color="auto" w:fill="auto"/>
            <w:noWrap/>
            <w:vAlign w:val="bottom"/>
            <w:hideMark/>
          </w:tcPr>
          <w:p w:rsidR="00CF0F8C" w:rsidRPr="00CF0F8C" w:rsidRDefault="00CF0F8C" w:rsidP="00CF0F8C">
            <w:pPr>
              <w:widowControl/>
              <w:autoSpaceDE/>
              <w:autoSpaceDN/>
              <w:jc w:val="right"/>
              <w:outlineLvl w:val="0"/>
              <w:rPr>
                <w:rFonts w:ascii="Arial" w:hAnsi="Arial" w:cs="Arial"/>
                <w:sz w:val="20"/>
                <w:szCs w:val="20"/>
                <w:lang w:val="et-EE" w:eastAsia="et-EE"/>
              </w:rPr>
            </w:pPr>
            <w:r w:rsidRPr="00CF0F8C">
              <w:rPr>
                <w:rFonts w:ascii="Arial" w:hAnsi="Arial" w:cs="Arial"/>
                <w:sz w:val="20"/>
                <w:szCs w:val="20"/>
                <w:lang w:val="et-EE" w:eastAsia="et-EE"/>
              </w:rPr>
              <w:t>10 000</w:t>
            </w:r>
          </w:p>
        </w:tc>
        <w:tc>
          <w:tcPr>
            <w:tcW w:w="1172" w:type="dxa"/>
            <w:tcBorders>
              <w:top w:val="nil"/>
              <w:left w:val="nil"/>
              <w:bottom w:val="single" w:sz="4" w:space="0" w:color="auto"/>
              <w:right w:val="single" w:sz="4" w:space="0" w:color="auto"/>
            </w:tcBorders>
            <w:shd w:val="clear" w:color="auto" w:fill="auto"/>
            <w:noWrap/>
            <w:vAlign w:val="bottom"/>
            <w:hideMark/>
          </w:tcPr>
          <w:p w:rsidR="00CF0F8C" w:rsidRPr="00CF0F8C" w:rsidRDefault="00CF0F8C" w:rsidP="00CF0F8C">
            <w:pPr>
              <w:widowControl/>
              <w:autoSpaceDE/>
              <w:autoSpaceDN/>
              <w:jc w:val="right"/>
              <w:outlineLvl w:val="0"/>
              <w:rPr>
                <w:rFonts w:ascii="Arial" w:hAnsi="Arial" w:cs="Arial"/>
                <w:sz w:val="20"/>
                <w:szCs w:val="20"/>
                <w:lang w:val="et-EE" w:eastAsia="et-EE"/>
              </w:rPr>
            </w:pPr>
            <w:r w:rsidRPr="00CF0F8C">
              <w:rPr>
                <w:rFonts w:ascii="Arial" w:hAnsi="Arial" w:cs="Arial"/>
                <w:sz w:val="20"/>
                <w:szCs w:val="20"/>
                <w:lang w:val="et-EE" w:eastAsia="et-EE"/>
              </w:rPr>
              <w:t>15 000</w:t>
            </w:r>
          </w:p>
        </w:tc>
        <w:tc>
          <w:tcPr>
            <w:tcW w:w="960" w:type="dxa"/>
            <w:tcBorders>
              <w:top w:val="nil"/>
              <w:left w:val="nil"/>
              <w:bottom w:val="single" w:sz="4" w:space="0" w:color="auto"/>
              <w:right w:val="single" w:sz="8" w:space="0" w:color="auto"/>
            </w:tcBorders>
            <w:shd w:val="clear" w:color="auto" w:fill="auto"/>
            <w:noWrap/>
            <w:vAlign w:val="bottom"/>
            <w:hideMark/>
          </w:tcPr>
          <w:p w:rsidR="00CF0F8C" w:rsidRPr="00CF0F8C" w:rsidRDefault="00CF0F8C" w:rsidP="00CF0F8C">
            <w:pPr>
              <w:widowControl/>
              <w:autoSpaceDE/>
              <w:autoSpaceDN/>
              <w:jc w:val="right"/>
              <w:outlineLvl w:val="0"/>
              <w:rPr>
                <w:rFonts w:ascii="Arial" w:hAnsi="Arial" w:cs="Arial"/>
                <w:sz w:val="20"/>
                <w:szCs w:val="20"/>
                <w:lang w:val="et-EE" w:eastAsia="et-EE"/>
              </w:rPr>
            </w:pPr>
            <w:r w:rsidRPr="00CF0F8C">
              <w:rPr>
                <w:rFonts w:ascii="Arial" w:hAnsi="Arial" w:cs="Arial"/>
                <w:sz w:val="20"/>
                <w:szCs w:val="20"/>
                <w:lang w:val="et-EE" w:eastAsia="et-EE"/>
              </w:rPr>
              <w:t>20 000</w:t>
            </w:r>
          </w:p>
        </w:tc>
      </w:tr>
      <w:tr w:rsidR="00CF0F8C" w:rsidRPr="00CF0F8C" w:rsidTr="00FA1C99">
        <w:trPr>
          <w:trHeight w:val="396"/>
        </w:trPr>
        <w:tc>
          <w:tcPr>
            <w:tcW w:w="478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F0F8C" w:rsidRPr="00CF0F8C" w:rsidRDefault="00CF0F8C" w:rsidP="00CF0F8C">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Likviidsete varade suunamata jääk aasta lõpuks</w:t>
            </w:r>
          </w:p>
        </w:tc>
        <w:tc>
          <w:tcPr>
            <w:tcW w:w="1127" w:type="dxa"/>
            <w:tcBorders>
              <w:top w:val="nil"/>
              <w:left w:val="nil"/>
              <w:bottom w:val="single" w:sz="4" w:space="0" w:color="auto"/>
              <w:right w:val="single" w:sz="4" w:space="0" w:color="auto"/>
            </w:tcBorders>
            <w:shd w:val="clear" w:color="000000" w:fill="C0C0C0"/>
            <w:noWrap/>
            <w:vAlign w:val="bottom"/>
            <w:hideMark/>
          </w:tcPr>
          <w:p w:rsidR="00CF0F8C" w:rsidRPr="00CF0F8C" w:rsidRDefault="00CF0F8C" w:rsidP="00CF0F8C">
            <w:pPr>
              <w:widowControl/>
              <w:autoSpaceDE/>
              <w:autoSpaceDN/>
              <w:jc w:val="right"/>
              <w:outlineLvl w:val="0"/>
              <w:rPr>
                <w:rFonts w:ascii="Arial" w:hAnsi="Arial" w:cs="Arial"/>
                <w:b/>
                <w:bCs/>
                <w:sz w:val="20"/>
                <w:szCs w:val="20"/>
                <w:lang w:val="et-EE" w:eastAsia="et-EE"/>
              </w:rPr>
            </w:pPr>
            <w:r w:rsidRPr="00CF0F8C">
              <w:rPr>
                <w:rFonts w:ascii="Arial" w:hAnsi="Arial" w:cs="Arial"/>
                <w:b/>
                <w:bCs/>
                <w:sz w:val="20"/>
                <w:szCs w:val="20"/>
                <w:lang w:val="et-EE" w:eastAsia="et-EE"/>
              </w:rPr>
              <w:t>-12 780</w:t>
            </w:r>
          </w:p>
        </w:tc>
        <w:tc>
          <w:tcPr>
            <w:tcW w:w="986" w:type="dxa"/>
            <w:tcBorders>
              <w:top w:val="nil"/>
              <w:left w:val="nil"/>
              <w:bottom w:val="single" w:sz="4" w:space="0" w:color="auto"/>
              <w:right w:val="single" w:sz="4" w:space="0" w:color="auto"/>
            </w:tcBorders>
            <w:shd w:val="clear" w:color="000000" w:fill="C0C0C0"/>
            <w:noWrap/>
            <w:vAlign w:val="bottom"/>
            <w:hideMark/>
          </w:tcPr>
          <w:p w:rsidR="00CF0F8C" w:rsidRPr="00CF0F8C" w:rsidRDefault="00CF0F8C" w:rsidP="00CF0F8C">
            <w:pPr>
              <w:widowControl/>
              <w:autoSpaceDE/>
              <w:autoSpaceDN/>
              <w:jc w:val="right"/>
              <w:outlineLvl w:val="0"/>
              <w:rPr>
                <w:rFonts w:ascii="Arial" w:hAnsi="Arial" w:cs="Arial"/>
                <w:b/>
                <w:bCs/>
                <w:sz w:val="20"/>
                <w:szCs w:val="20"/>
                <w:lang w:val="et-EE" w:eastAsia="et-EE"/>
              </w:rPr>
            </w:pPr>
            <w:r w:rsidRPr="00CF0F8C">
              <w:rPr>
                <w:rFonts w:ascii="Arial" w:hAnsi="Arial" w:cs="Arial"/>
                <w:b/>
                <w:bCs/>
                <w:sz w:val="20"/>
                <w:szCs w:val="20"/>
                <w:lang w:val="et-EE" w:eastAsia="et-EE"/>
              </w:rPr>
              <w:t>-7 780</w:t>
            </w:r>
          </w:p>
        </w:tc>
        <w:tc>
          <w:tcPr>
            <w:tcW w:w="1127" w:type="dxa"/>
            <w:tcBorders>
              <w:top w:val="nil"/>
              <w:left w:val="nil"/>
              <w:bottom w:val="single" w:sz="4" w:space="0" w:color="auto"/>
              <w:right w:val="single" w:sz="4" w:space="0" w:color="auto"/>
            </w:tcBorders>
            <w:shd w:val="clear" w:color="000000" w:fill="C0C0C0"/>
            <w:noWrap/>
            <w:vAlign w:val="bottom"/>
            <w:hideMark/>
          </w:tcPr>
          <w:p w:rsidR="00CF0F8C" w:rsidRPr="00CF0F8C" w:rsidRDefault="00CF0F8C" w:rsidP="00CF0F8C">
            <w:pPr>
              <w:widowControl/>
              <w:autoSpaceDE/>
              <w:autoSpaceDN/>
              <w:jc w:val="right"/>
              <w:outlineLvl w:val="0"/>
              <w:rPr>
                <w:rFonts w:ascii="Arial" w:hAnsi="Arial" w:cs="Arial"/>
                <w:b/>
                <w:bCs/>
                <w:sz w:val="20"/>
                <w:szCs w:val="20"/>
                <w:lang w:val="et-EE" w:eastAsia="et-EE"/>
              </w:rPr>
            </w:pPr>
            <w:r w:rsidRPr="00CF0F8C">
              <w:rPr>
                <w:rFonts w:ascii="Arial" w:hAnsi="Arial" w:cs="Arial"/>
                <w:b/>
                <w:bCs/>
                <w:sz w:val="20"/>
                <w:szCs w:val="20"/>
                <w:lang w:val="et-EE" w:eastAsia="et-EE"/>
              </w:rPr>
              <w:t>2 220</w:t>
            </w:r>
          </w:p>
        </w:tc>
        <w:tc>
          <w:tcPr>
            <w:tcW w:w="1172" w:type="dxa"/>
            <w:tcBorders>
              <w:top w:val="nil"/>
              <w:left w:val="nil"/>
              <w:bottom w:val="single" w:sz="4" w:space="0" w:color="auto"/>
              <w:right w:val="single" w:sz="4" w:space="0" w:color="auto"/>
            </w:tcBorders>
            <w:shd w:val="clear" w:color="000000" w:fill="C0C0C0"/>
            <w:noWrap/>
            <w:vAlign w:val="bottom"/>
            <w:hideMark/>
          </w:tcPr>
          <w:p w:rsidR="00CF0F8C" w:rsidRPr="00CF0F8C" w:rsidRDefault="00CF0F8C" w:rsidP="00CF0F8C">
            <w:pPr>
              <w:widowControl/>
              <w:autoSpaceDE/>
              <w:autoSpaceDN/>
              <w:jc w:val="right"/>
              <w:outlineLvl w:val="0"/>
              <w:rPr>
                <w:rFonts w:ascii="Arial" w:hAnsi="Arial" w:cs="Arial"/>
                <w:b/>
                <w:bCs/>
                <w:sz w:val="20"/>
                <w:szCs w:val="20"/>
                <w:lang w:val="et-EE" w:eastAsia="et-EE"/>
              </w:rPr>
            </w:pPr>
            <w:r w:rsidRPr="00CF0F8C">
              <w:rPr>
                <w:rFonts w:ascii="Arial" w:hAnsi="Arial" w:cs="Arial"/>
                <w:b/>
                <w:bCs/>
                <w:sz w:val="20"/>
                <w:szCs w:val="20"/>
                <w:lang w:val="et-EE" w:eastAsia="et-EE"/>
              </w:rPr>
              <w:t>17 220</w:t>
            </w:r>
          </w:p>
        </w:tc>
        <w:tc>
          <w:tcPr>
            <w:tcW w:w="960" w:type="dxa"/>
            <w:tcBorders>
              <w:top w:val="nil"/>
              <w:left w:val="nil"/>
              <w:bottom w:val="single" w:sz="4" w:space="0" w:color="auto"/>
              <w:right w:val="single" w:sz="8" w:space="0" w:color="auto"/>
            </w:tcBorders>
            <w:shd w:val="clear" w:color="000000" w:fill="C0C0C0"/>
            <w:noWrap/>
            <w:vAlign w:val="bottom"/>
            <w:hideMark/>
          </w:tcPr>
          <w:p w:rsidR="00CF0F8C" w:rsidRPr="00CF0F8C" w:rsidRDefault="00CF0F8C" w:rsidP="00CF0F8C">
            <w:pPr>
              <w:widowControl/>
              <w:autoSpaceDE/>
              <w:autoSpaceDN/>
              <w:jc w:val="right"/>
              <w:outlineLvl w:val="0"/>
              <w:rPr>
                <w:rFonts w:ascii="Arial" w:hAnsi="Arial" w:cs="Arial"/>
                <w:b/>
                <w:bCs/>
                <w:sz w:val="20"/>
                <w:szCs w:val="20"/>
                <w:lang w:val="et-EE" w:eastAsia="et-EE"/>
              </w:rPr>
            </w:pPr>
            <w:r w:rsidRPr="00CF0F8C">
              <w:rPr>
                <w:rFonts w:ascii="Arial" w:hAnsi="Arial" w:cs="Arial"/>
                <w:b/>
                <w:bCs/>
                <w:sz w:val="20"/>
                <w:szCs w:val="20"/>
                <w:lang w:val="et-EE" w:eastAsia="et-EE"/>
              </w:rPr>
              <w:t>37 220</w:t>
            </w:r>
          </w:p>
        </w:tc>
      </w:tr>
      <w:tr w:rsidR="00CF0F8C" w:rsidRPr="00CF0F8C" w:rsidTr="00FA1C99">
        <w:trPr>
          <w:trHeight w:val="197"/>
        </w:trPr>
        <w:tc>
          <w:tcPr>
            <w:tcW w:w="4783" w:type="dxa"/>
            <w:tcBorders>
              <w:top w:val="nil"/>
              <w:left w:val="single" w:sz="8" w:space="0" w:color="auto"/>
              <w:bottom w:val="single" w:sz="4" w:space="0" w:color="auto"/>
              <w:right w:val="single" w:sz="4" w:space="0" w:color="auto"/>
            </w:tcBorders>
            <w:shd w:val="clear" w:color="auto" w:fill="auto"/>
            <w:hideMark/>
          </w:tcPr>
          <w:p w:rsidR="00CF0F8C" w:rsidRPr="00CF0F8C" w:rsidRDefault="00CF0F8C" w:rsidP="00CF0F8C">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Võlakohustused kokku aasta lõpu seisuga</w:t>
            </w:r>
          </w:p>
        </w:tc>
        <w:tc>
          <w:tcPr>
            <w:tcW w:w="1127" w:type="dxa"/>
            <w:tcBorders>
              <w:top w:val="nil"/>
              <w:left w:val="nil"/>
              <w:bottom w:val="single" w:sz="4" w:space="0" w:color="auto"/>
              <w:right w:val="single" w:sz="4" w:space="0" w:color="auto"/>
            </w:tcBorders>
            <w:shd w:val="clear" w:color="auto" w:fill="auto"/>
            <w:noWrap/>
            <w:vAlign w:val="bottom"/>
            <w:hideMark/>
          </w:tcPr>
          <w:p w:rsidR="00CF0F8C" w:rsidRPr="00CF0F8C" w:rsidRDefault="00CF0F8C" w:rsidP="00CF0F8C">
            <w:pPr>
              <w:widowControl/>
              <w:autoSpaceDE/>
              <w:autoSpaceDN/>
              <w:jc w:val="right"/>
              <w:outlineLvl w:val="0"/>
              <w:rPr>
                <w:rFonts w:ascii="Arial" w:hAnsi="Arial" w:cs="Arial"/>
                <w:sz w:val="20"/>
                <w:szCs w:val="20"/>
                <w:lang w:val="et-EE" w:eastAsia="et-EE"/>
              </w:rPr>
            </w:pPr>
            <w:r w:rsidRPr="00CF0F8C">
              <w:rPr>
                <w:rFonts w:ascii="Arial" w:hAnsi="Arial" w:cs="Arial"/>
                <w:sz w:val="20"/>
                <w:szCs w:val="20"/>
                <w:lang w:val="et-EE" w:eastAsia="et-EE"/>
              </w:rPr>
              <w:t>0</w:t>
            </w:r>
          </w:p>
        </w:tc>
        <w:tc>
          <w:tcPr>
            <w:tcW w:w="986" w:type="dxa"/>
            <w:tcBorders>
              <w:top w:val="nil"/>
              <w:left w:val="nil"/>
              <w:bottom w:val="single" w:sz="4" w:space="0" w:color="auto"/>
              <w:right w:val="single" w:sz="4" w:space="0" w:color="auto"/>
            </w:tcBorders>
            <w:shd w:val="clear" w:color="auto" w:fill="auto"/>
            <w:noWrap/>
            <w:vAlign w:val="bottom"/>
            <w:hideMark/>
          </w:tcPr>
          <w:p w:rsidR="00CF0F8C" w:rsidRPr="00CF0F8C" w:rsidRDefault="00CF0F8C" w:rsidP="00CF0F8C">
            <w:pPr>
              <w:widowControl/>
              <w:autoSpaceDE/>
              <w:autoSpaceDN/>
              <w:jc w:val="right"/>
              <w:outlineLvl w:val="0"/>
              <w:rPr>
                <w:rFonts w:ascii="Arial" w:hAnsi="Arial" w:cs="Arial"/>
                <w:sz w:val="20"/>
                <w:szCs w:val="20"/>
                <w:lang w:val="et-EE" w:eastAsia="et-EE"/>
              </w:rPr>
            </w:pPr>
            <w:r w:rsidRPr="00CF0F8C">
              <w:rPr>
                <w:rFonts w:ascii="Arial" w:hAnsi="Arial" w:cs="Arial"/>
                <w:sz w:val="20"/>
                <w:szCs w:val="20"/>
                <w:lang w:val="et-EE" w:eastAsia="et-EE"/>
              </w:rPr>
              <w:t>0</w:t>
            </w:r>
          </w:p>
        </w:tc>
        <w:tc>
          <w:tcPr>
            <w:tcW w:w="1127" w:type="dxa"/>
            <w:tcBorders>
              <w:top w:val="nil"/>
              <w:left w:val="nil"/>
              <w:bottom w:val="single" w:sz="4" w:space="0" w:color="auto"/>
              <w:right w:val="single" w:sz="4" w:space="0" w:color="auto"/>
            </w:tcBorders>
            <w:shd w:val="clear" w:color="auto" w:fill="auto"/>
            <w:noWrap/>
            <w:vAlign w:val="bottom"/>
            <w:hideMark/>
          </w:tcPr>
          <w:p w:rsidR="00CF0F8C" w:rsidRPr="00CF0F8C" w:rsidRDefault="00CF0F8C" w:rsidP="00CF0F8C">
            <w:pPr>
              <w:widowControl/>
              <w:autoSpaceDE/>
              <w:autoSpaceDN/>
              <w:jc w:val="right"/>
              <w:outlineLvl w:val="0"/>
              <w:rPr>
                <w:rFonts w:ascii="Arial" w:hAnsi="Arial" w:cs="Arial"/>
                <w:sz w:val="20"/>
                <w:szCs w:val="20"/>
                <w:lang w:val="et-EE" w:eastAsia="et-EE"/>
              </w:rPr>
            </w:pPr>
            <w:r w:rsidRPr="00CF0F8C">
              <w:rPr>
                <w:rFonts w:ascii="Arial" w:hAnsi="Arial" w:cs="Arial"/>
                <w:sz w:val="20"/>
                <w:szCs w:val="20"/>
                <w:lang w:val="et-EE" w:eastAsia="et-EE"/>
              </w:rPr>
              <w:t>0</w:t>
            </w:r>
          </w:p>
        </w:tc>
        <w:tc>
          <w:tcPr>
            <w:tcW w:w="1172" w:type="dxa"/>
            <w:tcBorders>
              <w:top w:val="nil"/>
              <w:left w:val="nil"/>
              <w:bottom w:val="single" w:sz="4" w:space="0" w:color="auto"/>
              <w:right w:val="single" w:sz="4" w:space="0" w:color="auto"/>
            </w:tcBorders>
            <w:shd w:val="clear" w:color="auto" w:fill="auto"/>
            <w:noWrap/>
            <w:vAlign w:val="bottom"/>
            <w:hideMark/>
          </w:tcPr>
          <w:p w:rsidR="00CF0F8C" w:rsidRPr="00CF0F8C" w:rsidRDefault="00CF0F8C" w:rsidP="00CF0F8C">
            <w:pPr>
              <w:widowControl/>
              <w:autoSpaceDE/>
              <w:autoSpaceDN/>
              <w:jc w:val="right"/>
              <w:outlineLvl w:val="0"/>
              <w:rPr>
                <w:rFonts w:ascii="Arial" w:hAnsi="Arial" w:cs="Arial"/>
                <w:sz w:val="20"/>
                <w:szCs w:val="20"/>
                <w:lang w:val="et-EE" w:eastAsia="et-EE"/>
              </w:rPr>
            </w:pPr>
            <w:r w:rsidRPr="00CF0F8C">
              <w:rPr>
                <w:rFonts w:ascii="Arial" w:hAnsi="Arial" w:cs="Arial"/>
                <w:sz w:val="20"/>
                <w:szCs w:val="20"/>
                <w:lang w:val="et-EE" w:eastAsia="et-EE"/>
              </w:rPr>
              <w:t>0</w:t>
            </w:r>
          </w:p>
        </w:tc>
        <w:tc>
          <w:tcPr>
            <w:tcW w:w="960" w:type="dxa"/>
            <w:tcBorders>
              <w:top w:val="nil"/>
              <w:left w:val="nil"/>
              <w:bottom w:val="single" w:sz="4" w:space="0" w:color="auto"/>
              <w:right w:val="single" w:sz="4" w:space="0" w:color="auto"/>
            </w:tcBorders>
            <w:shd w:val="clear" w:color="auto" w:fill="auto"/>
            <w:noWrap/>
            <w:vAlign w:val="bottom"/>
            <w:hideMark/>
          </w:tcPr>
          <w:p w:rsidR="00CF0F8C" w:rsidRPr="00CF0F8C" w:rsidRDefault="00CF0F8C" w:rsidP="00CF0F8C">
            <w:pPr>
              <w:widowControl/>
              <w:autoSpaceDE/>
              <w:autoSpaceDN/>
              <w:jc w:val="right"/>
              <w:outlineLvl w:val="0"/>
              <w:rPr>
                <w:rFonts w:ascii="Arial" w:hAnsi="Arial" w:cs="Arial"/>
                <w:sz w:val="20"/>
                <w:szCs w:val="20"/>
                <w:lang w:val="et-EE" w:eastAsia="et-EE"/>
              </w:rPr>
            </w:pPr>
            <w:r w:rsidRPr="00CF0F8C">
              <w:rPr>
                <w:rFonts w:ascii="Arial" w:hAnsi="Arial" w:cs="Arial"/>
                <w:sz w:val="20"/>
                <w:szCs w:val="20"/>
                <w:lang w:val="et-EE" w:eastAsia="et-EE"/>
              </w:rPr>
              <w:t>0</w:t>
            </w:r>
          </w:p>
        </w:tc>
      </w:tr>
      <w:tr w:rsidR="00CF0F8C" w:rsidRPr="00CF0F8C" w:rsidTr="00FA1C99">
        <w:trPr>
          <w:trHeight w:val="197"/>
        </w:trPr>
        <w:tc>
          <w:tcPr>
            <w:tcW w:w="4783" w:type="dxa"/>
            <w:tcBorders>
              <w:top w:val="nil"/>
              <w:left w:val="single" w:sz="8" w:space="0" w:color="auto"/>
              <w:bottom w:val="single" w:sz="4" w:space="0" w:color="auto"/>
              <w:right w:val="single" w:sz="4" w:space="0" w:color="auto"/>
            </w:tcBorders>
            <w:shd w:val="clear" w:color="auto" w:fill="auto"/>
            <w:vAlign w:val="bottom"/>
            <w:hideMark/>
          </w:tcPr>
          <w:p w:rsidR="00CF0F8C" w:rsidRPr="00CF0F8C" w:rsidRDefault="00CF0F8C" w:rsidP="00CF0F8C">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Netovõlakoormus (eurodes)</w:t>
            </w:r>
          </w:p>
        </w:tc>
        <w:tc>
          <w:tcPr>
            <w:tcW w:w="1127" w:type="dxa"/>
            <w:tcBorders>
              <w:top w:val="nil"/>
              <w:left w:val="nil"/>
              <w:bottom w:val="single" w:sz="4" w:space="0" w:color="auto"/>
              <w:right w:val="single" w:sz="4" w:space="0" w:color="auto"/>
            </w:tcBorders>
            <w:shd w:val="clear" w:color="000000" w:fill="C0C0C0"/>
            <w:vAlign w:val="bottom"/>
            <w:hideMark/>
          </w:tcPr>
          <w:p w:rsidR="00CF0F8C" w:rsidRPr="00CF0F8C" w:rsidRDefault="00CF0F8C" w:rsidP="00CF0F8C">
            <w:pPr>
              <w:widowControl/>
              <w:autoSpaceDE/>
              <w:autoSpaceDN/>
              <w:jc w:val="right"/>
              <w:outlineLvl w:val="0"/>
              <w:rPr>
                <w:rFonts w:ascii="Arial" w:hAnsi="Arial" w:cs="Arial"/>
                <w:sz w:val="20"/>
                <w:szCs w:val="20"/>
                <w:lang w:val="et-EE" w:eastAsia="et-EE"/>
              </w:rPr>
            </w:pPr>
            <w:r w:rsidRPr="00CF0F8C">
              <w:rPr>
                <w:rFonts w:ascii="Arial" w:hAnsi="Arial" w:cs="Arial"/>
                <w:sz w:val="20"/>
                <w:szCs w:val="20"/>
                <w:lang w:val="et-EE" w:eastAsia="et-EE"/>
              </w:rPr>
              <w:t>12 780</w:t>
            </w:r>
          </w:p>
        </w:tc>
        <w:tc>
          <w:tcPr>
            <w:tcW w:w="986" w:type="dxa"/>
            <w:tcBorders>
              <w:top w:val="single" w:sz="4" w:space="0" w:color="auto"/>
              <w:left w:val="nil"/>
              <w:bottom w:val="single" w:sz="4" w:space="0" w:color="auto"/>
              <w:right w:val="single" w:sz="4" w:space="0" w:color="auto"/>
            </w:tcBorders>
            <w:shd w:val="clear" w:color="000000" w:fill="C0C0C0"/>
            <w:vAlign w:val="bottom"/>
            <w:hideMark/>
          </w:tcPr>
          <w:p w:rsidR="00CF0F8C" w:rsidRPr="00CF0F8C" w:rsidRDefault="00CF0F8C" w:rsidP="00CF0F8C">
            <w:pPr>
              <w:widowControl/>
              <w:autoSpaceDE/>
              <w:autoSpaceDN/>
              <w:jc w:val="right"/>
              <w:outlineLvl w:val="0"/>
              <w:rPr>
                <w:rFonts w:ascii="Arial" w:hAnsi="Arial" w:cs="Arial"/>
                <w:sz w:val="20"/>
                <w:szCs w:val="20"/>
                <w:lang w:val="et-EE" w:eastAsia="et-EE"/>
              </w:rPr>
            </w:pPr>
            <w:r w:rsidRPr="00CF0F8C">
              <w:rPr>
                <w:rFonts w:ascii="Arial" w:hAnsi="Arial" w:cs="Arial"/>
                <w:sz w:val="20"/>
                <w:szCs w:val="20"/>
                <w:lang w:val="et-EE" w:eastAsia="et-EE"/>
              </w:rPr>
              <w:t>7 780</w:t>
            </w:r>
          </w:p>
        </w:tc>
        <w:tc>
          <w:tcPr>
            <w:tcW w:w="1127" w:type="dxa"/>
            <w:tcBorders>
              <w:top w:val="single" w:sz="4" w:space="0" w:color="auto"/>
              <w:left w:val="nil"/>
              <w:bottom w:val="single" w:sz="4" w:space="0" w:color="auto"/>
              <w:right w:val="single" w:sz="4" w:space="0" w:color="auto"/>
            </w:tcBorders>
            <w:shd w:val="clear" w:color="000000" w:fill="C0C0C0"/>
            <w:vAlign w:val="bottom"/>
            <w:hideMark/>
          </w:tcPr>
          <w:p w:rsidR="00CF0F8C" w:rsidRPr="00CF0F8C" w:rsidRDefault="00CF0F8C" w:rsidP="00CF0F8C">
            <w:pPr>
              <w:widowControl/>
              <w:autoSpaceDE/>
              <w:autoSpaceDN/>
              <w:jc w:val="right"/>
              <w:outlineLvl w:val="0"/>
              <w:rPr>
                <w:rFonts w:ascii="Arial" w:hAnsi="Arial" w:cs="Arial"/>
                <w:sz w:val="20"/>
                <w:szCs w:val="20"/>
                <w:lang w:val="et-EE" w:eastAsia="et-EE"/>
              </w:rPr>
            </w:pPr>
            <w:r w:rsidRPr="00CF0F8C">
              <w:rPr>
                <w:rFonts w:ascii="Arial" w:hAnsi="Arial" w:cs="Arial"/>
                <w:sz w:val="20"/>
                <w:szCs w:val="20"/>
                <w:lang w:val="et-EE" w:eastAsia="et-EE"/>
              </w:rPr>
              <w:t>0</w:t>
            </w:r>
          </w:p>
        </w:tc>
        <w:tc>
          <w:tcPr>
            <w:tcW w:w="1172" w:type="dxa"/>
            <w:tcBorders>
              <w:top w:val="single" w:sz="4" w:space="0" w:color="auto"/>
              <w:left w:val="nil"/>
              <w:bottom w:val="single" w:sz="4" w:space="0" w:color="auto"/>
              <w:right w:val="single" w:sz="4" w:space="0" w:color="auto"/>
            </w:tcBorders>
            <w:shd w:val="clear" w:color="000000" w:fill="C0C0C0"/>
            <w:vAlign w:val="bottom"/>
            <w:hideMark/>
          </w:tcPr>
          <w:p w:rsidR="00CF0F8C" w:rsidRPr="00CF0F8C" w:rsidRDefault="00CF0F8C" w:rsidP="00CF0F8C">
            <w:pPr>
              <w:widowControl/>
              <w:autoSpaceDE/>
              <w:autoSpaceDN/>
              <w:jc w:val="right"/>
              <w:outlineLvl w:val="0"/>
              <w:rPr>
                <w:rFonts w:ascii="Arial" w:hAnsi="Arial" w:cs="Arial"/>
                <w:sz w:val="20"/>
                <w:szCs w:val="20"/>
                <w:lang w:val="et-EE" w:eastAsia="et-EE"/>
              </w:rPr>
            </w:pPr>
            <w:r w:rsidRPr="00CF0F8C">
              <w:rPr>
                <w:rFonts w:ascii="Arial" w:hAnsi="Arial" w:cs="Arial"/>
                <w:sz w:val="20"/>
                <w:szCs w:val="20"/>
                <w:lang w:val="et-EE" w:eastAsia="et-EE"/>
              </w:rPr>
              <w:t>0</w:t>
            </w:r>
          </w:p>
        </w:tc>
        <w:tc>
          <w:tcPr>
            <w:tcW w:w="960" w:type="dxa"/>
            <w:tcBorders>
              <w:top w:val="single" w:sz="4" w:space="0" w:color="auto"/>
              <w:left w:val="nil"/>
              <w:bottom w:val="single" w:sz="4" w:space="0" w:color="auto"/>
              <w:right w:val="single" w:sz="8" w:space="0" w:color="auto"/>
            </w:tcBorders>
            <w:shd w:val="clear" w:color="000000" w:fill="C0C0C0"/>
            <w:vAlign w:val="bottom"/>
            <w:hideMark/>
          </w:tcPr>
          <w:p w:rsidR="00CF0F8C" w:rsidRPr="00CF0F8C" w:rsidRDefault="00CF0F8C" w:rsidP="00CF0F8C">
            <w:pPr>
              <w:widowControl/>
              <w:autoSpaceDE/>
              <w:autoSpaceDN/>
              <w:jc w:val="right"/>
              <w:outlineLvl w:val="0"/>
              <w:rPr>
                <w:rFonts w:ascii="Arial" w:hAnsi="Arial" w:cs="Arial"/>
                <w:sz w:val="20"/>
                <w:szCs w:val="20"/>
                <w:lang w:val="et-EE" w:eastAsia="et-EE"/>
              </w:rPr>
            </w:pPr>
            <w:r w:rsidRPr="00CF0F8C">
              <w:rPr>
                <w:rFonts w:ascii="Arial" w:hAnsi="Arial" w:cs="Arial"/>
                <w:sz w:val="20"/>
                <w:szCs w:val="20"/>
                <w:lang w:val="et-EE" w:eastAsia="et-EE"/>
              </w:rPr>
              <w:t>0</w:t>
            </w:r>
          </w:p>
        </w:tc>
      </w:tr>
      <w:tr w:rsidR="00CF0F8C" w:rsidRPr="00CF0F8C" w:rsidTr="00FA1C99">
        <w:trPr>
          <w:trHeight w:val="209"/>
        </w:trPr>
        <w:tc>
          <w:tcPr>
            <w:tcW w:w="4783" w:type="dxa"/>
            <w:tcBorders>
              <w:top w:val="nil"/>
              <w:left w:val="single" w:sz="8" w:space="0" w:color="auto"/>
              <w:bottom w:val="single" w:sz="8" w:space="0" w:color="auto"/>
              <w:right w:val="single" w:sz="4" w:space="0" w:color="auto"/>
            </w:tcBorders>
            <w:shd w:val="clear" w:color="auto" w:fill="auto"/>
            <w:vAlign w:val="bottom"/>
            <w:hideMark/>
          </w:tcPr>
          <w:p w:rsidR="00CF0F8C" w:rsidRPr="00CF0F8C" w:rsidRDefault="00CF0F8C" w:rsidP="00CF0F8C">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Netovõlakoormus (%)</w:t>
            </w:r>
          </w:p>
        </w:tc>
        <w:tc>
          <w:tcPr>
            <w:tcW w:w="1127" w:type="dxa"/>
            <w:tcBorders>
              <w:top w:val="nil"/>
              <w:left w:val="nil"/>
              <w:bottom w:val="single" w:sz="8" w:space="0" w:color="auto"/>
              <w:right w:val="single" w:sz="4" w:space="0" w:color="auto"/>
            </w:tcBorders>
            <w:shd w:val="clear" w:color="000000" w:fill="C0C0C0"/>
            <w:vAlign w:val="bottom"/>
            <w:hideMark/>
          </w:tcPr>
          <w:p w:rsidR="00CF0F8C" w:rsidRPr="00CF0F8C" w:rsidRDefault="00CF0F8C" w:rsidP="00CF0F8C">
            <w:pPr>
              <w:widowControl/>
              <w:autoSpaceDE/>
              <w:autoSpaceDN/>
              <w:jc w:val="right"/>
              <w:outlineLvl w:val="0"/>
              <w:rPr>
                <w:rFonts w:ascii="Arial" w:hAnsi="Arial" w:cs="Arial"/>
                <w:sz w:val="20"/>
                <w:szCs w:val="20"/>
                <w:lang w:val="et-EE" w:eastAsia="et-EE"/>
              </w:rPr>
            </w:pPr>
            <w:r w:rsidRPr="00CF0F8C">
              <w:rPr>
                <w:rFonts w:ascii="Arial" w:hAnsi="Arial" w:cs="Arial"/>
                <w:sz w:val="20"/>
                <w:szCs w:val="20"/>
                <w:lang w:val="et-EE" w:eastAsia="et-EE"/>
              </w:rPr>
              <w:t>1,8%</w:t>
            </w:r>
          </w:p>
        </w:tc>
        <w:tc>
          <w:tcPr>
            <w:tcW w:w="986" w:type="dxa"/>
            <w:tcBorders>
              <w:top w:val="nil"/>
              <w:left w:val="nil"/>
              <w:bottom w:val="single" w:sz="8" w:space="0" w:color="auto"/>
              <w:right w:val="single" w:sz="4" w:space="0" w:color="auto"/>
            </w:tcBorders>
            <w:shd w:val="clear" w:color="000000" w:fill="C0C0C0"/>
            <w:vAlign w:val="bottom"/>
            <w:hideMark/>
          </w:tcPr>
          <w:p w:rsidR="00CF0F8C" w:rsidRPr="00CF0F8C" w:rsidRDefault="00CF0F8C" w:rsidP="00CF0F8C">
            <w:pPr>
              <w:widowControl/>
              <w:autoSpaceDE/>
              <w:autoSpaceDN/>
              <w:jc w:val="right"/>
              <w:outlineLvl w:val="0"/>
              <w:rPr>
                <w:rFonts w:ascii="Arial" w:hAnsi="Arial" w:cs="Arial"/>
                <w:sz w:val="20"/>
                <w:szCs w:val="20"/>
                <w:lang w:val="et-EE" w:eastAsia="et-EE"/>
              </w:rPr>
            </w:pPr>
            <w:r w:rsidRPr="00CF0F8C">
              <w:rPr>
                <w:rFonts w:ascii="Arial" w:hAnsi="Arial" w:cs="Arial"/>
                <w:sz w:val="20"/>
                <w:szCs w:val="20"/>
                <w:lang w:val="et-EE" w:eastAsia="et-EE"/>
              </w:rPr>
              <w:t>1,1%</w:t>
            </w:r>
          </w:p>
        </w:tc>
        <w:tc>
          <w:tcPr>
            <w:tcW w:w="1127" w:type="dxa"/>
            <w:tcBorders>
              <w:top w:val="nil"/>
              <w:left w:val="nil"/>
              <w:bottom w:val="single" w:sz="8" w:space="0" w:color="auto"/>
              <w:right w:val="single" w:sz="4" w:space="0" w:color="auto"/>
            </w:tcBorders>
            <w:shd w:val="clear" w:color="000000" w:fill="C0C0C0"/>
            <w:vAlign w:val="bottom"/>
            <w:hideMark/>
          </w:tcPr>
          <w:p w:rsidR="00CF0F8C" w:rsidRPr="00CF0F8C" w:rsidRDefault="00CF0F8C" w:rsidP="00CF0F8C">
            <w:pPr>
              <w:widowControl/>
              <w:autoSpaceDE/>
              <w:autoSpaceDN/>
              <w:jc w:val="right"/>
              <w:outlineLvl w:val="0"/>
              <w:rPr>
                <w:rFonts w:ascii="Arial" w:hAnsi="Arial" w:cs="Arial"/>
                <w:sz w:val="20"/>
                <w:szCs w:val="20"/>
                <w:lang w:val="et-EE" w:eastAsia="et-EE"/>
              </w:rPr>
            </w:pPr>
            <w:r w:rsidRPr="00CF0F8C">
              <w:rPr>
                <w:rFonts w:ascii="Arial" w:hAnsi="Arial" w:cs="Arial"/>
                <w:sz w:val="20"/>
                <w:szCs w:val="20"/>
                <w:lang w:val="et-EE" w:eastAsia="et-EE"/>
              </w:rPr>
              <w:t>0,0%</w:t>
            </w:r>
          </w:p>
        </w:tc>
        <w:tc>
          <w:tcPr>
            <w:tcW w:w="1172" w:type="dxa"/>
            <w:tcBorders>
              <w:top w:val="nil"/>
              <w:left w:val="nil"/>
              <w:bottom w:val="single" w:sz="8" w:space="0" w:color="auto"/>
              <w:right w:val="single" w:sz="4" w:space="0" w:color="auto"/>
            </w:tcBorders>
            <w:shd w:val="clear" w:color="000000" w:fill="C0C0C0"/>
            <w:vAlign w:val="bottom"/>
            <w:hideMark/>
          </w:tcPr>
          <w:p w:rsidR="00CF0F8C" w:rsidRPr="00CF0F8C" w:rsidRDefault="00CF0F8C" w:rsidP="00CF0F8C">
            <w:pPr>
              <w:widowControl/>
              <w:autoSpaceDE/>
              <w:autoSpaceDN/>
              <w:jc w:val="right"/>
              <w:outlineLvl w:val="0"/>
              <w:rPr>
                <w:rFonts w:ascii="Arial" w:hAnsi="Arial" w:cs="Arial"/>
                <w:sz w:val="20"/>
                <w:szCs w:val="20"/>
                <w:lang w:val="et-EE" w:eastAsia="et-EE"/>
              </w:rPr>
            </w:pPr>
            <w:r w:rsidRPr="00CF0F8C">
              <w:rPr>
                <w:rFonts w:ascii="Arial" w:hAnsi="Arial" w:cs="Arial"/>
                <w:sz w:val="20"/>
                <w:szCs w:val="20"/>
                <w:lang w:val="et-EE" w:eastAsia="et-EE"/>
              </w:rPr>
              <w:t>0,0%</w:t>
            </w:r>
          </w:p>
        </w:tc>
        <w:tc>
          <w:tcPr>
            <w:tcW w:w="960" w:type="dxa"/>
            <w:tcBorders>
              <w:top w:val="nil"/>
              <w:left w:val="nil"/>
              <w:bottom w:val="single" w:sz="8" w:space="0" w:color="auto"/>
              <w:right w:val="single" w:sz="8" w:space="0" w:color="auto"/>
            </w:tcBorders>
            <w:shd w:val="clear" w:color="000000" w:fill="C0C0C0"/>
            <w:vAlign w:val="bottom"/>
            <w:hideMark/>
          </w:tcPr>
          <w:p w:rsidR="00CF0F8C" w:rsidRPr="00CF0F8C" w:rsidRDefault="00CF0F8C" w:rsidP="00CF0F8C">
            <w:pPr>
              <w:widowControl/>
              <w:autoSpaceDE/>
              <w:autoSpaceDN/>
              <w:jc w:val="right"/>
              <w:outlineLvl w:val="0"/>
              <w:rPr>
                <w:rFonts w:ascii="Arial" w:hAnsi="Arial" w:cs="Arial"/>
                <w:sz w:val="20"/>
                <w:szCs w:val="20"/>
                <w:lang w:val="et-EE" w:eastAsia="et-EE"/>
              </w:rPr>
            </w:pPr>
            <w:r w:rsidRPr="00CF0F8C">
              <w:rPr>
                <w:rFonts w:ascii="Arial" w:hAnsi="Arial" w:cs="Arial"/>
                <w:sz w:val="20"/>
                <w:szCs w:val="20"/>
                <w:lang w:val="et-EE" w:eastAsia="et-EE"/>
              </w:rPr>
              <w:t>0,0%</w:t>
            </w:r>
          </w:p>
        </w:tc>
      </w:tr>
    </w:tbl>
    <w:p w:rsidR="000036DB" w:rsidRDefault="000036DB" w:rsidP="00326510">
      <w:pPr>
        <w:jc w:val="both"/>
        <w:rPr>
          <w:sz w:val="24"/>
          <w:szCs w:val="24"/>
        </w:rPr>
      </w:pPr>
    </w:p>
    <w:p w:rsidR="001F0C13" w:rsidRDefault="00F417DC" w:rsidP="00326510">
      <w:pPr>
        <w:jc w:val="both"/>
        <w:rPr>
          <w:sz w:val="24"/>
          <w:szCs w:val="24"/>
        </w:rPr>
      </w:pPr>
      <w:r>
        <w:rPr>
          <w:sz w:val="24"/>
          <w:szCs w:val="24"/>
        </w:rPr>
        <w:t>OÜ Roela Soojuse finantsnäitajad 2020-2023 aastateks</w:t>
      </w:r>
    </w:p>
    <w:p w:rsidR="00A85531" w:rsidRDefault="00A85531" w:rsidP="00326510">
      <w:pPr>
        <w:jc w:val="both"/>
        <w:rPr>
          <w:sz w:val="24"/>
          <w:szCs w:val="24"/>
        </w:rPr>
      </w:pPr>
    </w:p>
    <w:tbl>
      <w:tblPr>
        <w:tblW w:w="10233" w:type="dxa"/>
        <w:tblCellMar>
          <w:left w:w="70" w:type="dxa"/>
          <w:right w:w="70" w:type="dxa"/>
        </w:tblCellMar>
        <w:tblLook w:val="04A0" w:firstRow="1" w:lastRow="0" w:firstColumn="1" w:lastColumn="0" w:noHBand="0" w:noVBand="1"/>
      </w:tblPr>
      <w:tblGrid>
        <w:gridCol w:w="4738"/>
        <w:gridCol w:w="1304"/>
        <w:gridCol w:w="1003"/>
        <w:gridCol w:w="1083"/>
        <w:gridCol w:w="1102"/>
        <w:gridCol w:w="1003"/>
      </w:tblGrid>
      <w:tr w:rsidR="00CF0F8C" w:rsidRPr="00A85531" w:rsidTr="00FA1C99">
        <w:trPr>
          <w:trHeight w:val="575"/>
        </w:trPr>
        <w:tc>
          <w:tcPr>
            <w:tcW w:w="4738" w:type="dxa"/>
            <w:tcBorders>
              <w:top w:val="single" w:sz="8" w:space="0" w:color="auto"/>
              <w:left w:val="single" w:sz="8" w:space="0" w:color="auto"/>
              <w:bottom w:val="single" w:sz="4" w:space="0" w:color="auto"/>
              <w:right w:val="single" w:sz="4" w:space="0" w:color="auto"/>
            </w:tcBorders>
            <w:shd w:val="clear" w:color="000000" w:fill="CCFFCC"/>
            <w:vAlign w:val="bottom"/>
            <w:hideMark/>
          </w:tcPr>
          <w:p w:rsidR="00CF0F8C" w:rsidRPr="00A85531" w:rsidRDefault="00CF0F8C" w:rsidP="00A85531">
            <w:pPr>
              <w:widowControl/>
              <w:autoSpaceDE/>
              <w:autoSpaceDN/>
              <w:outlineLvl w:val="0"/>
              <w:rPr>
                <w:rFonts w:ascii="Arial" w:hAnsi="Arial" w:cs="Arial"/>
                <w:b/>
                <w:bCs/>
                <w:sz w:val="20"/>
                <w:szCs w:val="20"/>
                <w:lang w:val="et-EE" w:eastAsia="et-EE"/>
              </w:rPr>
            </w:pPr>
          </w:p>
        </w:tc>
        <w:tc>
          <w:tcPr>
            <w:tcW w:w="1304" w:type="dxa"/>
            <w:tcBorders>
              <w:top w:val="single" w:sz="8" w:space="0" w:color="auto"/>
              <w:left w:val="nil"/>
              <w:bottom w:val="single" w:sz="8" w:space="0" w:color="auto"/>
              <w:right w:val="single" w:sz="4" w:space="0" w:color="auto"/>
            </w:tcBorders>
            <w:shd w:val="clear" w:color="000000" w:fill="CCFFCC"/>
            <w:vAlign w:val="bottom"/>
            <w:hideMark/>
          </w:tcPr>
          <w:p w:rsidR="00CF0F8C" w:rsidRPr="00A85531" w:rsidRDefault="00CF0F8C" w:rsidP="00A85531">
            <w:pPr>
              <w:widowControl/>
              <w:autoSpaceDE/>
              <w:autoSpaceDN/>
              <w:jc w:val="center"/>
              <w:outlineLvl w:val="0"/>
              <w:rPr>
                <w:rFonts w:ascii="Arial" w:hAnsi="Arial" w:cs="Arial"/>
                <w:b/>
                <w:bCs/>
                <w:sz w:val="20"/>
                <w:szCs w:val="20"/>
                <w:lang w:val="et-EE" w:eastAsia="et-EE"/>
              </w:rPr>
            </w:pPr>
            <w:r w:rsidRPr="00A85531">
              <w:rPr>
                <w:rFonts w:ascii="Arial" w:hAnsi="Arial" w:cs="Arial"/>
                <w:b/>
                <w:bCs/>
                <w:sz w:val="20"/>
                <w:szCs w:val="20"/>
                <w:lang w:val="et-EE" w:eastAsia="et-EE"/>
              </w:rPr>
              <w:t>2019 eeldatav täitmine</w:t>
            </w:r>
          </w:p>
        </w:tc>
        <w:tc>
          <w:tcPr>
            <w:tcW w:w="1003" w:type="dxa"/>
            <w:tcBorders>
              <w:top w:val="single" w:sz="8" w:space="0" w:color="auto"/>
              <w:left w:val="nil"/>
              <w:bottom w:val="single" w:sz="8" w:space="0" w:color="auto"/>
              <w:right w:val="single" w:sz="4" w:space="0" w:color="auto"/>
            </w:tcBorders>
            <w:shd w:val="clear" w:color="000000" w:fill="CCFFCC"/>
            <w:vAlign w:val="bottom"/>
            <w:hideMark/>
          </w:tcPr>
          <w:p w:rsidR="00CF0F8C" w:rsidRPr="00A85531" w:rsidRDefault="00CF0F8C" w:rsidP="00A85531">
            <w:pPr>
              <w:widowControl/>
              <w:autoSpaceDE/>
              <w:autoSpaceDN/>
              <w:jc w:val="center"/>
              <w:outlineLvl w:val="0"/>
              <w:rPr>
                <w:rFonts w:ascii="Arial" w:hAnsi="Arial" w:cs="Arial"/>
                <w:b/>
                <w:bCs/>
                <w:sz w:val="20"/>
                <w:szCs w:val="20"/>
                <w:lang w:val="et-EE" w:eastAsia="et-EE"/>
              </w:rPr>
            </w:pPr>
            <w:r w:rsidRPr="00A85531">
              <w:rPr>
                <w:rFonts w:ascii="Arial" w:hAnsi="Arial" w:cs="Arial"/>
                <w:b/>
                <w:bCs/>
                <w:sz w:val="20"/>
                <w:szCs w:val="20"/>
                <w:lang w:val="et-EE" w:eastAsia="et-EE"/>
              </w:rPr>
              <w:t xml:space="preserve">2020 eelarve  </w:t>
            </w:r>
          </w:p>
        </w:tc>
        <w:tc>
          <w:tcPr>
            <w:tcW w:w="1083" w:type="dxa"/>
            <w:tcBorders>
              <w:top w:val="single" w:sz="8" w:space="0" w:color="auto"/>
              <w:left w:val="nil"/>
              <w:bottom w:val="single" w:sz="8" w:space="0" w:color="auto"/>
              <w:right w:val="single" w:sz="4" w:space="0" w:color="auto"/>
            </w:tcBorders>
            <w:shd w:val="clear" w:color="000000" w:fill="CCFFCC"/>
            <w:vAlign w:val="bottom"/>
            <w:hideMark/>
          </w:tcPr>
          <w:p w:rsidR="00CF0F8C" w:rsidRPr="00A85531" w:rsidRDefault="00CF0F8C" w:rsidP="00A85531">
            <w:pPr>
              <w:widowControl/>
              <w:autoSpaceDE/>
              <w:autoSpaceDN/>
              <w:jc w:val="center"/>
              <w:outlineLvl w:val="0"/>
              <w:rPr>
                <w:rFonts w:ascii="Arial" w:hAnsi="Arial" w:cs="Arial"/>
                <w:b/>
                <w:bCs/>
                <w:sz w:val="20"/>
                <w:szCs w:val="20"/>
                <w:lang w:val="et-EE" w:eastAsia="et-EE"/>
              </w:rPr>
            </w:pPr>
            <w:r w:rsidRPr="00A85531">
              <w:rPr>
                <w:rFonts w:ascii="Arial" w:hAnsi="Arial" w:cs="Arial"/>
                <w:b/>
                <w:bCs/>
                <w:sz w:val="20"/>
                <w:szCs w:val="20"/>
                <w:lang w:val="et-EE" w:eastAsia="et-EE"/>
              </w:rPr>
              <w:t xml:space="preserve">2021 eelarve  </w:t>
            </w:r>
          </w:p>
        </w:tc>
        <w:tc>
          <w:tcPr>
            <w:tcW w:w="1102" w:type="dxa"/>
            <w:tcBorders>
              <w:top w:val="single" w:sz="8" w:space="0" w:color="auto"/>
              <w:left w:val="nil"/>
              <w:bottom w:val="single" w:sz="8" w:space="0" w:color="auto"/>
              <w:right w:val="single" w:sz="4" w:space="0" w:color="auto"/>
            </w:tcBorders>
            <w:shd w:val="clear" w:color="000000" w:fill="CCFFCC"/>
            <w:vAlign w:val="bottom"/>
            <w:hideMark/>
          </w:tcPr>
          <w:p w:rsidR="00CF0F8C" w:rsidRPr="00A85531" w:rsidRDefault="00CF0F8C" w:rsidP="00A85531">
            <w:pPr>
              <w:widowControl/>
              <w:autoSpaceDE/>
              <w:autoSpaceDN/>
              <w:jc w:val="center"/>
              <w:outlineLvl w:val="0"/>
              <w:rPr>
                <w:rFonts w:ascii="Arial" w:hAnsi="Arial" w:cs="Arial"/>
                <w:b/>
                <w:bCs/>
                <w:sz w:val="20"/>
                <w:szCs w:val="20"/>
                <w:lang w:val="et-EE" w:eastAsia="et-EE"/>
              </w:rPr>
            </w:pPr>
            <w:r w:rsidRPr="00A85531">
              <w:rPr>
                <w:rFonts w:ascii="Arial" w:hAnsi="Arial" w:cs="Arial"/>
                <w:b/>
                <w:bCs/>
                <w:sz w:val="20"/>
                <w:szCs w:val="20"/>
                <w:lang w:val="et-EE" w:eastAsia="et-EE"/>
              </w:rPr>
              <w:t xml:space="preserve">2022 eelarve  </w:t>
            </w:r>
          </w:p>
        </w:tc>
        <w:tc>
          <w:tcPr>
            <w:tcW w:w="1003" w:type="dxa"/>
            <w:tcBorders>
              <w:top w:val="single" w:sz="8" w:space="0" w:color="auto"/>
              <w:left w:val="nil"/>
              <w:bottom w:val="single" w:sz="8" w:space="0" w:color="auto"/>
              <w:right w:val="single" w:sz="8" w:space="0" w:color="auto"/>
            </w:tcBorders>
            <w:shd w:val="clear" w:color="000000" w:fill="CCFFCC"/>
            <w:vAlign w:val="bottom"/>
            <w:hideMark/>
          </w:tcPr>
          <w:p w:rsidR="00CF0F8C" w:rsidRPr="00A85531" w:rsidRDefault="00CF0F8C" w:rsidP="00A85531">
            <w:pPr>
              <w:widowControl/>
              <w:autoSpaceDE/>
              <w:autoSpaceDN/>
              <w:jc w:val="center"/>
              <w:outlineLvl w:val="0"/>
              <w:rPr>
                <w:rFonts w:ascii="Arial" w:hAnsi="Arial" w:cs="Arial"/>
                <w:b/>
                <w:bCs/>
                <w:sz w:val="20"/>
                <w:szCs w:val="20"/>
                <w:lang w:val="et-EE" w:eastAsia="et-EE"/>
              </w:rPr>
            </w:pPr>
            <w:r w:rsidRPr="00A85531">
              <w:rPr>
                <w:rFonts w:ascii="Arial" w:hAnsi="Arial" w:cs="Arial"/>
                <w:b/>
                <w:bCs/>
                <w:sz w:val="20"/>
                <w:szCs w:val="20"/>
                <w:lang w:val="et-EE" w:eastAsia="et-EE"/>
              </w:rPr>
              <w:t xml:space="preserve">2023 eelarve  </w:t>
            </w:r>
          </w:p>
        </w:tc>
      </w:tr>
      <w:tr w:rsidR="00CF0F8C" w:rsidRPr="00A85531" w:rsidTr="00FA1C99">
        <w:trPr>
          <w:trHeight w:val="225"/>
        </w:trPr>
        <w:tc>
          <w:tcPr>
            <w:tcW w:w="4738" w:type="dxa"/>
            <w:tcBorders>
              <w:top w:val="nil"/>
              <w:left w:val="single" w:sz="8" w:space="0" w:color="auto"/>
              <w:bottom w:val="single" w:sz="4" w:space="0" w:color="auto"/>
              <w:right w:val="single" w:sz="4" w:space="0" w:color="auto"/>
            </w:tcBorders>
            <w:shd w:val="clear" w:color="auto" w:fill="auto"/>
            <w:noWrap/>
            <w:vAlign w:val="center"/>
            <w:hideMark/>
          </w:tcPr>
          <w:p w:rsidR="00CF0F8C" w:rsidRPr="00A85531" w:rsidRDefault="00CF0F8C" w:rsidP="00A85531">
            <w:pPr>
              <w:widowControl/>
              <w:autoSpaceDE/>
              <w:autoSpaceDN/>
              <w:rPr>
                <w:rFonts w:ascii="Arial" w:hAnsi="Arial" w:cs="Arial"/>
                <w:b/>
                <w:bCs/>
                <w:sz w:val="20"/>
                <w:szCs w:val="20"/>
                <w:lang w:val="et-EE" w:eastAsia="et-EE"/>
              </w:rPr>
            </w:pPr>
            <w:r w:rsidRPr="00A85531">
              <w:rPr>
                <w:rFonts w:ascii="Arial" w:hAnsi="Arial" w:cs="Arial"/>
                <w:b/>
                <w:bCs/>
                <w:sz w:val="20"/>
                <w:szCs w:val="20"/>
                <w:lang w:val="et-EE" w:eastAsia="et-EE"/>
              </w:rPr>
              <w:t>Põhitegevuse tulud kokku (+)</w:t>
            </w:r>
          </w:p>
        </w:tc>
        <w:tc>
          <w:tcPr>
            <w:tcW w:w="1304" w:type="dxa"/>
            <w:tcBorders>
              <w:top w:val="single" w:sz="4" w:space="0" w:color="auto"/>
              <w:left w:val="nil"/>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160 624</w:t>
            </w:r>
          </w:p>
        </w:tc>
        <w:tc>
          <w:tcPr>
            <w:tcW w:w="1003" w:type="dxa"/>
            <w:tcBorders>
              <w:top w:val="single" w:sz="4" w:space="0" w:color="auto"/>
              <w:left w:val="nil"/>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145 258</w:t>
            </w:r>
          </w:p>
        </w:tc>
        <w:tc>
          <w:tcPr>
            <w:tcW w:w="1083" w:type="dxa"/>
            <w:tcBorders>
              <w:top w:val="single" w:sz="4" w:space="0" w:color="auto"/>
              <w:left w:val="nil"/>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151 252</w:t>
            </w:r>
          </w:p>
        </w:tc>
        <w:tc>
          <w:tcPr>
            <w:tcW w:w="1102" w:type="dxa"/>
            <w:tcBorders>
              <w:top w:val="single" w:sz="4" w:space="0" w:color="auto"/>
              <w:left w:val="nil"/>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155 300</w:t>
            </w:r>
          </w:p>
        </w:tc>
        <w:tc>
          <w:tcPr>
            <w:tcW w:w="1003" w:type="dxa"/>
            <w:tcBorders>
              <w:top w:val="single" w:sz="4" w:space="0" w:color="auto"/>
              <w:left w:val="nil"/>
              <w:bottom w:val="single" w:sz="4" w:space="0" w:color="auto"/>
              <w:right w:val="single" w:sz="8" w:space="0" w:color="auto"/>
            </w:tcBorders>
            <w:shd w:val="clear" w:color="auto" w:fill="auto"/>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150 457</w:t>
            </w:r>
          </w:p>
        </w:tc>
      </w:tr>
      <w:tr w:rsidR="00CF0F8C" w:rsidRPr="00A85531" w:rsidTr="00FA1C99">
        <w:trPr>
          <w:trHeight w:val="190"/>
        </w:trPr>
        <w:tc>
          <w:tcPr>
            <w:tcW w:w="4738" w:type="dxa"/>
            <w:tcBorders>
              <w:top w:val="nil"/>
              <w:left w:val="single" w:sz="8" w:space="0" w:color="auto"/>
              <w:bottom w:val="single" w:sz="4" w:space="0" w:color="auto"/>
              <w:right w:val="single" w:sz="4" w:space="0" w:color="auto"/>
            </w:tcBorders>
            <w:shd w:val="clear" w:color="auto" w:fill="auto"/>
            <w:noWrap/>
            <w:vAlign w:val="center"/>
            <w:hideMark/>
          </w:tcPr>
          <w:p w:rsidR="00CF0F8C" w:rsidRPr="00A85531" w:rsidRDefault="00CF0F8C" w:rsidP="00A85531">
            <w:pPr>
              <w:widowControl/>
              <w:autoSpaceDE/>
              <w:autoSpaceDN/>
              <w:rPr>
                <w:rFonts w:ascii="Arial" w:hAnsi="Arial" w:cs="Arial"/>
                <w:sz w:val="16"/>
                <w:szCs w:val="16"/>
                <w:lang w:val="et-EE" w:eastAsia="et-EE"/>
              </w:rPr>
            </w:pPr>
            <w:r w:rsidRPr="00A85531">
              <w:rPr>
                <w:rFonts w:ascii="Arial" w:hAnsi="Arial" w:cs="Arial"/>
                <w:sz w:val="16"/>
                <w:szCs w:val="16"/>
                <w:lang w:val="et-EE" w:eastAsia="et-EE"/>
              </w:rPr>
              <w:t xml:space="preserve">    sh saadud tulud kohalikult omavalitsuselt</w:t>
            </w:r>
          </w:p>
        </w:tc>
        <w:tc>
          <w:tcPr>
            <w:tcW w:w="1304" w:type="dxa"/>
            <w:tcBorders>
              <w:top w:val="nil"/>
              <w:left w:val="nil"/>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43 716</w:t>
            </w:r>
          </w:p>
        </w:tc>
        <w:tc>
          <w:tcPr>
            <w:tcW w:w="1003" w:type="dxa"/>
            <w:tcBorders>
              <w:top w:val="nil"/>
              <w:left w:val="nil"/>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47 125</w:t>
            </w:r>
          </w:p>
        </w:tc>
        <w:tc>
          <w:tcPr>
            <w:tcW w:w="1083" w:type="dxa"/>
            <w:tcBorders>
              <w:top w:val="nil"/>
              <w:left w:val="nil"/>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48 912</w:t>
            </w:r>
          </w:p>
        </w:tc>
        <w:tc>
          <w:tcPr>
            <w:tcW w:w="1102" w:type="dxa"/>
            <w:tcBorders>
              <w:top w:val="nil"/>
              <w:left w:val="nil"/>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50 121</w:t>
            </w:r>
          </w:p>
        </w:tc>
        <w:tc>
          <w:tcPr>
            <w:tcW w:w="1003" w:type="dxa"/>
            <w:tcBorders>
              <w:top w:val="nil"/>
              <w:left w:val="nil"/>
              <w:bottom w:val="single" w:sz="4" w:space="0" w:color="auto"/>
              <w:right w:val="single" w:sz="8" w:space="0" w:color="auto"/>
            </w:tcBorders>
            <w:shd w:val="clear" w:color="auto" w:fill="auto"/>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51 235</w:t>
            </w:r>
          </w:p>
        </w:tc>
      </w:tr>
      <w:tr w:rsidR="00CF0F8C" w:rsidRPr="00A85531" w:rsidTr="00FA1C99">
        <w:trPr>
          <w:trHeight w:val="190"/>
        </w:trPr>
        <w:tc>
          <w:tcPr>
            <w:tcW w:w="4738" w:type="dxa"/>
            <w:tcBorders>
              <w:top w:val="nil"/>
              <w:left w:val="single" w:sz="8" w:space="0" w:color="auto"/>
              <w:bottom w:val="single" w:sz="4" w:space="0" w:color="auto"/>
              <w:right w:val="single" w:sz="4" w:space="0" w:color="auto"/>
            </w:tcBorders>
            <w:shd w:val="clear" w:color="auto" w:fill="auto"/>
            <w:noWrap/>
            <w:vAlign w:val="center"/>
            <w:hideMark/>
          </w:tcPr>
          <w:p w:rsidR="00CF0F8C" w:rsidRPr="00A85531" w:rsidRDefault="00CF0F8C" w:rsidP="00A85531">
            <w:pPr>
              <w:widowControl/>
              <w:autoSpaceDE/>
              <w:autoSpaceDN/>
              <w:rPr>
                <w:rFonts w:ascii="Arial" w:hAnsi="Arial" w:cs="Arial"/>
                <w:b/>
                <w:bCs/>
                <w:sz w:val="20"/>
                <w:szCs w:val="20"/>
                <w:lang w:val="et-EE" w:eastAsia="et-EE"/>
              </w:rPr>
            </w:pPr>
            <w:r w:rsidRPr="00A85531">
              <w:rPr>
                <w:rFonts w:ascii="Arial" w:hAnsi="Arial" w:cs="Arial"/>
                <w:b/>
                <w:bCs/>
                <w:sz w:val="20"/>
                <w:szCs w:val="20"/>
                <w:lang w:val="et-EE" w:eastAsia="et-EE"/>
              </w:rPr>
              <w:t>Põhitegevuse kulud kokku (+)</w:t>
            </w:r>
          </w:p>
        </w:tc>
        <w:tc>
          <w:tcPr>
            <w:tcW w:w="1304" w:type="dxa"/>
            <w:tcBorders>
              <w:top w:val="nil"/>
              <w:left w:val="nil"/>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171 840</w:t>
            </w:r>
          </w:p>
        </w:tc>
        <w:tc>
          <w:tcPr>
            <w:tcW w:w="1003" w:type="dxa"/>
            <w:tcBorders>
              <w:top w:val="nil"/>
              <w:left w:val="nil"/>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130 212</w:t>
            </w:r>
          </w:p>
        </w:tc>
        <w:tc>
          <w:tcPr>
            <w:tcW w:w="1083" w:type="dxa"/>
            <w:tcBorders>
              <w:top w:val="nil"/>
              <w:left w:val="nil"/>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137 120</w:t>
            </w:r>
          </w:p>
        </w:tc>
        <w:tc>
          <w:tcPr>
            <w:tcW w:w="1102" w:type="dxa"/>
            <w:tcBorders>
              <w:top w:val="nil"/>
              <w:left w:val="nil"/>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140 141</w:t>
            </w:r>
          </w:p>
        </w:tc>
        <w:tc>
          <w:tcPr>
            <w:tcW w:w="1003" w:type="dxa"/>
            <w:tcBorders>
              <w:top w:val="nil"/>
              <w:left w:val="nil"/>
              <w:bottom w:val="single" w:sz="4" w:space="0" w:color="auto"/>
              <w:right w:val="single" w:sz="8" w:space="0" w:color="auto"/>
            </w:tcBorders>
            <w:shd w:val="clear" w:color="auto" w:fill="auto"/>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144 253</w:t>
            </w:r>
          </w:p>
        </w:tc>
      </w:tr>
      <w:tr w:rsidR="00CF0F8C" w:rsidRPr="00A85531" w:rsidTr="00FA1C99">
        <w:trPr>
          <w:trHeight w:val="190"/>
        </w:trPr>
        <w:tc>
          <w:tcPr>
            <w:tcW w:w="4738" w:type="dxa"/>
            <w:tcBorders>
              <w:top w:val="nil"/>
              <w:left w:val="single" w:sz="4" w:space="0" w:color="auto"/>
              <w:bottom w:val="single" w:sz="4" w:space="0" w:color="auto"/>
              <w:right w:val="single" w:sz="4" w:space="0" w:color="auto"/>
            </w:tcBorders>
            <w:shd w:val="clear" w:color="auto" w:fill="auto"/>
            <w:noWrap/>
            <w:vAlign w:val="center"/>
            <w:hideMark/>
          </w:tcPr>
          <w:p w:rsidR="00CF0F8C" w:rsidRPr="00A85531" w:rsidRDefault="00CF0F8C" w:rsidP="00A85531">
            <w:pPr>
              <w:widowControl/>
              <w:autoSpaceDE/>
              <w:autoSpaceDN/>
              <w:rPr>
                <w:rFonts w:ascii="Arial" w:hAnsi="Arial" w:cs="Arial"/>
                <w:b/>
                <w:bCs/>
                <w:sz w:val="20"/>
                <w:szCs w:val="20"/>
                <w:lang w:val="et-EE" w:eastAsia="et-EE"/>
              </w:rPr>
            </w:pPr>
            <w:r w:rsidRPr="00A85531">
              <w:rPr>
                <w:rFonts w:ascii="Arial" w:hAnsi="Arial" w:cs="Arial"/>
                <w:b/>
                <w:bCs/>
                <w:sz w:val="20"/>
                <w:szCs w:val="20"/>
                <w:lang w:val="et-EE" w:eastAsia="et-EE"/>
              </w:rPr>
              <w:t>Põhitegevustulem</w:t>
            </w:r>
          </w:p>
        </w:tc>
        <w:tc>
          <w:tcPr>
            <w:tcW w:w="1304" w:type="dxa"/>
            <w:tcBorders>
              <w:top w:val="nil"/>
              <w:left w:val="nil"/>
              <w:bottom w:val="single" w:sz="4" w:space="0" w:color="auto"/>
              <w:right w:val="single" w:sz="4" w:space="0" w:color="auto"/>
            </w:tcBorders>
            <w:shd w:val="clear" w:color="000000" w:fill="C0C0C0"/>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-11 216</w:t>
            </w:r>
          </w:p>
        </w:tc>
        <w:tc>
          <w:tcPr>
            <w:tcW w:w="1003" w:type="dxa"/>
            <w:tcBorders>
              <w:top w:val="nil"/>
              <w:left w:val="nil"/>
              <w:bottom w:val="single" w:sz="4" w:space="0" w:color="auto"/>
              <w:right w:val="single" w:sz="4" w:space="0" w:color="auto"/>
            </w:tcBorders>
            <w:shd w:val="clear" w:color="000000" w:fill="C0C0C0"/>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15 046</w:t>
            </w:r>
          </w:p>
        </w:tc>
        <w:tc>
          <w:tcPr>
            <w:tcW w:w="1083" w:type="dxa"/>
            <w:tcBorders>
              <w:top w:val="nil"/>
              <w:left w:val="nil"/>
              <w:bottom w:val="single" w:sz="4" w:space="0" w:color="auto"/>
              <w:right w:val="single" w:sz="4" w:space="0" w:color="auto"/>
            </w:tcBorders>
            <w:shd w:val="clear" w:color="000000" w:fill="C0C0C0"/>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14 132</w:t>
            </w:r>
          </w:p>
        </w:tc>
        <w:tc>
          <w:tcPr>
            <w:tcW w:w="1102" w:type="dxa"/>
            <w:tcBorders>
              <w:top w:val="nil"/>
              <w:left w:val="nil"/>
              <w:bottom w:val="single" w:sz="4" w:space="0" w:color="auto"/>
              <w:right w:val="single" w:sz="4" w:space="0" w:color="auto"/>
            </w:tcBorders>
            <w:shd w:val="clear" w:color="000000" w:fill="C0C0C0"/>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15 159</w:t>
            </w:r>
          </w:p>
        </w:tc>
        <w:tc>
          <w:tcPr>
            <w:tcW w:w="1003" w:type="dxa"/>
            <w:tcBorders>
              <w:top w:val="nil"/>
              <w:left w:val="nil"/>
              <w:bottom w:val="single" w:sz="4" w:space="0" w:color="auto"/>
              <w:right w:val="single" w:sz="8" w:space="0" w:color="auto"/>
            </w:tcBorders>
            <w:shd w:val="clear" w:color="000000" w:fill="C0C0C0"/>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6 204</w:t>
            </w:r>
          </w:p>
        </w:tc>
      </w:tr>
      <w:tr w:rsidR="00CF0F8C" w:rsidRPr="00A85531" w:rsidTr="00FA1C99">
        <w:trPr>
          <w:trHeight w:val="190"/>
        </w:trPr>
        <w:tc>
          <w:tcPr>
            <w:tcW w:w="4738" w:type="dxa"/>
            <w:tcBorders>
              <w:top w:val="nil"/>
              <w:left w:val="single" w:sz="8" w:space="0" w:color="auto"/>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rPr>
                <w:rFonts w:ascii="Arial" w:hAnsi="Arial" w:cs="Arial"/>
                <w:b/>
                <w:bCs/>
                <w:sz w:val="20"/>
                <w:szCs w:val="20"/>
                <w:lang w:val="et-EE" w:eastAsia="et-EE"/>
              </w:rPr>
            </w:pPr>
            <w:r w:rsidRPr="00A85531">
              <w:rPr>
                <w:rFonts w:ascii="Arial" w:hAnsi="Arial" w:cs="Arial"/>
                <w:b/>
                <w:bCs/>
                <w:sz w:val="20"/>
                <w:szCs w:val="20"/>
                <w:lang w:val="et-EE" w:eastAsia="et-EE"/>
              </w:rPr>
              <w:t>Investeerimistegevus kokku (+/-)</w:t>
            </w:r>
          </w:p>
        </w:tc>
        <w:tc>
          <w:tcPr>
            <w:tcW w:w="1304" w:type="dxa"/>
            <w:tcBorders>
              <w:top w:val="nil"/>
              <w:left w:val="nil"/>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-443</w:t>
            </w:r>
          </w:p>
        </w:tc>
        <w:tc>
          <w:tcPr>
            <w:tcW w:w="1003" w:type="dxa"/>
            <w:tcBorders>
              <w:top w:val="nil"/>
              <w:left w:val="nil"/>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-463</w:t>
            </w:r>
          </w:p>
        </w:tc>
        <w:tc>
          <w:tcPr>
            <w:tcW w:w="1083" w:type="dxa"/>
            <w:tcBorders>
              <w:top w:val="nil"/>
              <w:left w:val="nil"/>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-463</w:t>
            </w:r>
          </w:p>
        </w:tc>
        <w:tc>
          <w:tcPr>
            <w:tcW w:w="1102" w:type="dxa"/>
            <w:tcBorders>
              <w:top w:val="nil"/>
              <w:left w:val="nil"/>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-463</w:t>
            </w:r>
          </w:p>
        </w:tc>
        <w:tc>
          <w:tcPr>
            <w:tcW w:w="1003" w:type="dxa"/>
            <w:tcBorders>
              <w:top w:val="nil"/>
              <w:left w:val="nil"/>
              <w:bottom w:val="single" w:sz="4" w:space="0" w:color="auto"/>
              <w:right w:val="single" w:sz="8" w:space="0" w:color="auto"/>
            </w:tcBorders>
            <w:shd w:val="clear" w:color="auto" w:fill="auto"/>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-463</w:t>
            </w:r>
          </w:p>
        </w:tc>
      </w:tr>
      <w:tr w:rsidR="00CF0F8C" w:rsidRPr="00A85531" w:rsidTr="00FA1C99">
        <w:trPr>
          <w:trHeight w:val="190"/>
        </w:trPr>
        <w:tc>
          <w:tcPr>
            <w:tcW w:w="4738" w:type="dxa"/>
            <w:tcBorders>
              <w:top w:val="nil"/>
              <w:left w:val="single" w:sz="8" w:space="0" w:color="auto"/>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rPr>
                <w:rFonts w:ascii="Arial" w:hAnsi="Arial" w:cs="Arial"/>
                <w:b/>
                <w:bCs/>
                <w:sz w:val="20"/>
                <w:szCs w:val="20"/>
                <w:lang w:val="et-EE" w:eastAsia="et-EE"/>
              </w:rPr>
            </w:pPr>
            <w:r w:rsidRPr="00A85531">
              <w:rPr>
                <w:rFonts w:ascii="Arial" w:hAnsi="Arial" w:cs="Arial"/>
                <w:b/>
                <w:bCs/>
                <w:sz w:val="20"/>
                <w:szCs w:val="20"/>
                <w:lang w:val="et-EE" w:eastAsia="et-EE"/>
              </w:rPr>
              <w:t>Eelarve tulem</w:t>
            </w:r>
          </w:p>
        </w:tc>
        <w:tc>
          <w:tcPr>
            <w:tcW w:w="1304" w:type="dxa"/>
            <w:tcBorders>
              <w:top w:val="nil"/>
              <w:left w:val="nil"/>
              <w:bottom w:val="single" w:sz="4" w:space="0" w:color="auto"/>
              <w:right w:val="single" w:sz="4" w:space="0" w:color="auto"/>
            </w:tcBorders>
            <w:shd w:val="clear" w:color="000000" w:fill="C0C0C0"/>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-11 659</w:t>
            </w:r>
          </w:p>
        </w:tc>
        <w:tc>
          <w:tcPr>
            <w:tcW w:w="1003" w:type="dxa"/>
            <w:tcBorders>
              <w:top w:val="nil"/>
              <w:left w:val="nil"/>
              <w:bottom w:val="single" w:sz="4" w:space="0" w:color="auto"/>
              <w:right w:val="single" w:sz="4" w:space="0" w:color="auto"/>
            </w:tcBorders>
            <w:shd w:val="clear" w:color="000000" w:fill="C0C0C0"/>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14 583</w:t>
            </w:r>
          </w:p>
        </w:tc>
        <w:tc>
          <w:tcPr>
            <w:tcW w:w="1083" w:type="dxa"/>
            <w:tcBorders>
              <w:top w:val="nil"/>
              <w:left w:val="nil"/>
              <w:bottom w:val="single" w:sz="4" w:space="0" w:color="auto"/>
              <w:right w:val="single" w:sz="4" w:space="0" w:color="auto"/>
            </w:tcBorders>
            <w:shd w:val="clear" w:color="000000" w:fill="C0C0C0"/>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13 669</w:t>
            </w:r>
          </w:p>
        </w:tc>
        <w:tc>
          <w:tcPr>
            <w:tcW w:w="1102" w:type="dxa"/>
            <w:tcBorders>
              <w:top w:val="nil"/>
              <w:left w:val="nil"/>
              <w:bottom w:val="single" w:sz="4" w:space="0" w:color="auto"/>
              <w:right w:val="single" w:sz="4" w:space="0" w:color="auto"/>
            </w:tcBorders>
            <w:shd w:val="clear" w:color="000000" w:fill="C0C0C0"/>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14 696</w:t>
            </w:r>
          </w:p>
        </w:tc>
        <w:tc>
          <w:tcPr>
            <w:tcW w:w="1003" w:type="dxa"/>
            <w:tcBorders>
              <w:top w:val="nil"/>
              <w:left w:val="nil"/>
              <w:bottom w:val="single" w:sz="4" w:space="0" w:color="auto"/>
              <w:right w:val="single" w:sz="8" w:space="0" w:color="auto"/>
            </w:tcBorders>
            <w:shd w:val="clear" w:color="000000" w:fill="C0C0C0"/>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5 741</w:t>
            </w:r>
          </w:p>
        </w:tc>
      </w:tr>
      <w:tr w:rsidR="00CF0F8C" w:rsidRPr="00A85531" w:rsidTr="00FA1C99">
        <w:trPr>
          <w:trHeight w:val="190"/>
        </w:trPr>
        <w:tc>
          <w:tcPr>
            <w:tcW w:w="4738" w:type="dxa"/>
            <w:tcBorders>
              <w:top w:val="nil"/>
              <w:left w:val="single" w:sz="8" w:space="0" w:color="auto"/>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rPr>
                <w:rFonts w:ascii="Arial" w:hAnsi="Arial" w:cs="Arial"/>
                <w:b/>
                <w:bCs/>
                <w:sz w:val="20"/>
                <w:szCs w:val="20"/>
                <w:lang w:val="et-EE" w:eastAsia="et-EE"/>
              </w:rPr>
            </w:pPr>
            <w:r w:rsidRPr="00A85531">
              <w:rPr>
                <w:rFonts w:ascii="Arial" w:hAnsi="Arial" w:cs="Arial"/>
                <w:b/>
                <w:bCs/>
                <w:sz w:val="20"/>
                <w:szCs w:val="20"/>
                <w:lang w:val="et-EE" w:eastAsia="et-EE"/>
              </w:rPr>
              <w:t>Finantseerimistegevus (-/+)</w:t>
            </w:r>
          </w:p>
        </w:tc>
        <w:tc>
          <w:tcPr>
            <w:tcW w:w="1304" w:type="dxa"/>
            <w:tcBorders>
              <w:top w:val="nil"/>
              <w:left w:val="nil"/>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-6 195</w:t>
            </w:r>
          </w:p>
        </w:tc>
        <w:tc>
          <w:tcPr>
            <w:tcW w:w="1003" w:type="dxa"/>
            <w:tcBorders>
              <w:top w:val="nil"/>
              <w:left w:val="nil"/>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-6 000</w:t>
            </w:r>
          </w:p>
        </w:tc>
        <w:tc>
          <w:tcPr>
            <w:tcW w:w="1083" w:type="dxa"/>
            <w:tcBorders>
              <w:top w:val="nil"/>
              <w:left w:val="nil"/>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-6 000</w:t>
            </w:r>
          </w:p>
        </w:tc>
        <w:tc>
          <w:tcPr>
            <w:tcW w:w="1102" w:type="dxa"/>
            <w:tcBorders>
              <w:top w:val="nil"/>
              <w:left w:val="nil"/>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-6 000</w:t>
            </w:r>
          </w:p>
        </w:tc>
        <w:tc>
          <w:tcPr>
            <w:tcW w:w="1003" w:type="dxa"/>
            <w:tcBorders>
              <w:top w:val="nil"/>
              <w:left w:val="nil"/>
              <w:bottom w:val="single" w:sz="4" w:space="0" w:color="auto"/>
              <w:right w:val="single" w:sz="8" w:space="0" w:color="auto"/>
            </w:tcBorders>
            <w:shd w:val="clear" w:color="auto" w:fill="auto"/>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0</w:t>
            </w:r>
          </w:p>
        </w:tc>
      </w:tr>
      <w:tr w:rsidR="00CF0F8C" w:rsidRPr="00A85531" w:rsidTr="00FA1C99">
        <w:trPr>
          <w:trHeight w:val="383"/>
        </w:trPr>
        <w:tc>
          <w:tcPr>
            <w:tcW w:w="4738" w:type="dxa"/>
            <w:tcBorders>
              <w:top w:val="nil"/>
              <w:left w:val="single" w:sz="8" w:space="0" w:color="auto"/>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rPr>
                <w:rFonts w:ascii="Arial" w:hAnsi="Arial" w:cs="Arial"/>
                <w:b/>
                <w:bCs/>
                <w:sz w:val="20"/>
                <w:szCs w:val="20"/>
                <w:lang w:val="et-EE" w:eastAsia="et-EE"/>
              </w:rPr>
            </w:pPr>
            <w:r w:rsidRPr="00A85531">
              <w:rPr>
                <w:rFonts w:ascii="Arial" w:hAnsi="Arial" w:cs="Arial"/>
                <w:b/>
                <w:bCs/>
                <w:sz w:val="20"/>
                <w:szCs w:val="20"/>
                <w:lang w:val="et-EE" w:eastAsia="et-EE"/>
              </w:rPr>
              <w:t>Likviidsete varade muutus (+ suurenemine, - vähenemine)</w:t>
            </w:r>
          </w:p>
        </w:tc>
        <w:tc>
          <w:tcPr>
            <w:tcW w:w="1304" w:type="dxa"/>
            <w:tcBorders>
              <w:top w:val="nil"/>
              <w:left w:val="nil"/>
              <w:bottom w:val="single" w:sz="4" w:space="0" w:color="auto"/>
              <w:right w:val="single" w:sz="4" w:space="0" w:color="auto"/>
            </w:tcBorders>
            <w:shd w:val="clear" w:color="auto" w:fill="auto"/>
            <w:noWrap/>
            <w:vAlign w:val="bottom"/>
            <w:hideMark/>
          </w:tcPr>
          <w:p w:rsidR="00CF0F8C" w:rsidRPr="00A85531" w:rsidRDefault="00CF0F8C" w:rsidP="00A85531">
            <w:pPr>
              <w:widowControl/>
              <w:autoSpaceDE/>
              <w:autoSpaceDN/>
              <w:jc w:val="right"/>
              <w:rPr>
                <w:rFonts w:ascii="Arial" w:hAnsi="Arial" w:cs="Arial"/>
                <w:sz w:val="20"/>
                <w:szCs w:val="20"/>
                <w:lang w:val="et-EE" w:eastAsia="et-EE"/>
              </w:rPr>
            </w:pPr>
            <w:r w:rsidRPr="00A85531">
              <w:rPr>
                <w:rFonts w:ascii="Arial" w:hAnsi="Arial" w:cs="Arial"/>
                <w:sz w:val="20"/>
                <w:szCs w:val="20"/>
                <w:lang w:val="et-EE" w:eastAsia="et-EE"/>
              </w:rPr>
              <w:t>-17 854</w:t>
            </w:r>
          </w:p>
        </w:tc>
        <w:tc>
          <w:tcPr>
            <w:tcW w:w="1003" w:type="dxa"/>
            <w:tcBorders>
              <w:top w:val="nil"/>
              <w:left w:val="nil"/>
              <w:bottom w:val="single" w:sz="4" w:space="0" w:color="auto"/>
              <w:right w:val="single" w:sz="4" w:space="0" w:color="auto"/>
            </w:tcBorders>
            <w:shd w:val="clear" w:color="auto" w:fill="auto"/>
            <w:noWrap/>
            <w:vAlign w:val="bottom"/>
            <w:hideMark/>
          </w:tcPr>
          <w:p w:rsidR="00CF0F8C" w:rsidRPr="00A85531" w:rsidRDefault="00CF0F8C" w:rsidP="00A85531">
            <w:pPr>
              <w:widowControl/>
              <w:autoSpaceDE/>
              <w:autoSpaceDN/>
              <w:jc w:val="right"/>
              <w:rPr>
                <w:rFonts w:ascii="Arial" w:hAnsi="Arial" w:cs="Arial"/>
                <w:sz w:val="20"/>
                <w:szCs w:val="20"/>
                <w:lang w:val="et-EE" w:eastAsia="et-EE"/>
              </w:rPr>
            </w:pPr>
            <w:r w:rsidRPr="00A85531">
              <w:rPr>
                <w:rFonts w:ascii="Arial" w:hAnsi="Arial" w:cs="Arial"/>
                <w:sz w:val="20"/>
                <w:szCs w:val="20"/>
                <w:lang w:val="et-EE" w:eastAsia="et-EE"/>
              </w:rPr>
              <w:t>8 583</w:t>
            </w:r>
          </w:p>
        </w:tc>
        <w:tc>
          <w:tcPr>
            <w:tcW w:w="1083" w:type="dxa"/>
            <w:tcBorders>
              <w:top w:val="nil"/>
              <w:left w:val="nil"/>
              <w:bottom w:val="single" w:sz="4" w:space="0" w:color="auto"/>
              <w:right w:val="single" w:sz="4" w:space="0" w:color="auto"/>
            </w:tcBorders>
            <w:shd w:val="clear" w:color="auto" w:fill="auto"/>
            <w:noWrap/>
            <w:vAlign w:val="bottom"/>
            <w:hideMark/>
          </w:tcPr>
          <w:p w:rsidR="00CF0F8C" w:rsidRPr="00A85531" w:rsidRDefault="00CF0F8C" w:rsidP="00A85531">
            <w:pPr>
              <w:widowControl/>
              <w:autoSpaceDE/>
              <w:autoSpaceDN/>
              <w:jc w:val="right"/>
              <w:rPr>
                <w:rFonts w:ascii="Arial" w:hAnsi="Arial" w:cs="Arial"/>
                <w:sz w:val="20"/>
                <w:szCs w:val="20"/>
                <w:lang w:val="et-EE" w:eastAsia="et-EE"/>
              </w:rPr>
            </w:pPr>
            <w:r w:rsidRPr="00A85531">
              <w:rPr>
                <w:rFonts w:ascii="Arial" w:hAnsi="Arial" w:cs="Arial"/>
                <w:sz w:val="20"/>
                <w:szCs w:val="20"/>
                <w:lang w:val="et-EE" w:eastAsia="et-EE"/>
              </w:rPr>
              <w:t>7 669</w:t>
            </w:r>
          </w:p>
        </w:tc>
        <w:tc>
          <w:tcPr>
            <w:tcW w:w="1102" w:type="dxa"/>
            <w:tcBorders>
              <w:top w:val="nil"/>
              <w:left w:val="nil"/>
              <w:bottom w:val="single" w:sz="4" w:space="0" w:color="auto"/>
              <w:right w:val="single" w:sz="4" w:space="0" w:color="auto"/>
            </w:tcBorders>
            <w:shd w:val="clear" w:color="auto" w:fill="auto"/>
            <w:noWrap/>
            <w:vAlign w:val="bottom"/>
            <w:hideMark/>
          </w:tcPr>
          <w:p w:rsidR="00CF0F8C" w:rsidRPr="00A85531" w:rsidRDefault="00CF0F8C" w:rsidP="00A85531">
            <w:pPr>
              <w:widowControl/>
              <w:autoSpaceDE/>
              <w:autoSpaceDN/>
              <w:jc w:val="right"/>
              <w:rPr>
                <w:rFonts w:ascii="Arial" w:hAnsi="Arial" w:cs="Arial"/>
                <w:sz w:val="20"/>
                <w:szCs w:val="20"/>
                <w:lang w:val="et-EE" w:eastAsia="et-EE"/>
              </w:rPr>
            </w:pPr>
            <w:r w:rsidRPr="00A85531">
              <w:rPr>
                <w:rFonts w:ascii="Arial" w:hAnsi="Arial" w:cs="Arial"/>
                <w:sz w:val="20"/>
                <w:szCs w:val="20"/>
                <w:lang w:val="et-EE" w:eastAsia="et-EE"/>
              </w:rPr>
              <w:t>8 696</w:t>
            </w:r>
          </w:p>
        </w:tc>
        <w:tc>
          <w:tcPr>
            <w:tcW w:w="1003" w:type="dxa"/>
            <w:tcBorders>
              <w:top w:val="nil"/>
              <w:left w:val="nil"/>
              <w:bottom w:val="single" w:sz="4" w:space="0" w:color="auto"/>
              <w:right w:val="single" w:sz="8" w:space="0" w:color="auto"/>
            </w:tcBorders>
            <w:shd w:val="clear" w:color="auto" w:fill="auto"/>
            <w:noWrap/>
            <w:vAlign w:val="bottom"/>
            <w:hideMark/>
          </w:tcPr>
          <w:p w:rsidR="00CF0F8C" w:rsidRPr="00A85531" w:rsidRDefault="00CF0F8C" w:rsidP="00A85531">
            <w:pPr>
              <w:widowControl/>
              <w:autoSpaceDE/>
              <w:autoSpaceDN/>
              <w:jc w:val="right"/>
              <w:rPr>
                <w:rFonts w:ascii="Arial" w:hAnsi="Arial" w:cs="Arial"/>
                <w:sz w:val="20"/>
                <w:szCs w:val="20"/>
                <w:lang w:val="et-EE" w:eastAsia="et-EE"/>
              </w:rPr>
            </w:pPr>
            <w:r w:rsidRPr="00A85531">
              <w:rPr>
                <w:rFonts w:ascii="Arial" w:hAnsi="Arial" w:cs="Arial"/>
                <w:sz w:val="20"/>
                <w:szCs w:val="20"/>
                <w:lang w:val="et-EE" w:eastAsia="et-EE"/>
              </w:rPr>
              <w:t>5 741</w:t>
            </w:r>
          </w:p>
        </w:tc>
      </w:tr>
      <w:tr w:rsidR="00CF0F8C" w:rsidRPr="00A85531" w:rsidTr="00FA1C99">
        <w:trPr>
          <w:trHeight w:val="258"/>
        </w:trPr>
        <w:tc>
          <w:tcPr>
            <w:tcW w:w="473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rPr>
                <w:rFonts w:ascii="Arial" w:hAnsi="Arial" w:cs="Arial"/>
                <w:b/>
                <w:bCs/>
                <w:sz w:val="20"/>
                <w:szCs w:val="20"/>
                <w:lang w:val="et-EE" w:eastAsia="et-EE"/>
              </w:rPr>
            </w:pPr>
            <w:r w:rsidRPr="00A85531">
              <w:rPr>
                <w:rFonts w:ascii="Arial" w:hAnsi="Arial" w:cs="Arial"/>
                <w:b/>
                <w:bCs/>
                <w:sz w:val="20"/>
                <w:szCs w:val="20"/>
                <w:lang w:val="et-EE" w:eastAsia="et-EE"/>
              </w:rPr>
              <w:t>Likviidsete varade suunamata jääk aasta lõpuks</w:t>
            </w:r>
          </w:p>
        </w:tc>
        <w:tc>
          <w:tcPr>
            <w:tcW w:w="1304" w:type="dxa"/>
            <w:tcBorders>
              <w:top w:val="nil"/>
              <w:left w:val="nil"/>
              <w:bottom w:val="single" w:sz="4" w:space="0" w:color="auto"/>
              <w:right w:val="single" w:sz="4" w:space="0" w:color="auto"/>
            </w:tcBorders>
            <w:shd w:val="clear" w:color="000000" w:fill="C0C0C0"/>
            <w:noWrap/>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-17 854</w:t>
            </w:r>
          </w:p>
        </w:tc>
        <w:tc>
          <w:tcPr>
            <w:tcW w:w="1003" w:type="dxa"/>
            <w:tcBorders>
              <w:top w:val="nil"/>
              <w:left w:val="nil"/>
              <w:bottom w:val="single" w:sz="4" w:space="0" w:color="auto"/>
              <w:right w:val="single" w:sz="4" w:space="0" w:color="auto"/>
            </w:tcBorders>
            <w:shd w:val="clear" w:color="000000" w:fill="C0C0C0"/>
            <w:noWrap/>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-9 271</w:t>
            </w:r>
          </w:p>
        </w:tc>
        <w:tc>
          <w:tcPr>
            <w:tcW w:w="1083" w:type="dxa"/>
            <w:tcBorders>
              <w:top w:val="nil"/>
              <w:left w:val="nil"/>
              <w:bottom w:val="single" w:sz="4" w:space="0" w:color="auto"/>
              <w:right w:val="single" w:sz="4" w:space="0" w:color="auto"/>
            </w:tcBorders>
            <w:shd w:val="clear" w:color="000000" w:fill="C0C0C0"/>
            <w:noWrap/>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-1 602</w:t>
            </w:r>
          </w:p>
        </w:tc>
        <w:tc>
          <w:tcPr>
            <w:tcW w:w="1102" w:type="dxa"/>
            <w:tcBorders>
              <w:top w:val="nil"/>
              <w:left w:val="nil"/>
              <w:bottom w:val="single" w:sz="4" w:space="0" w:color="auto"/>
              <w:right w:val="single" w:sz="4" w:space="0" w:color="auto"/>
            </w:tcBorders>
            <w:shd w:val="clear" w:color="000000" w:fill="C0C0C0"/>
            <w:noWrap/>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7 094</w:t>
            </w:r>
          </w:p>
        </w:tc>
        <w:tc>
          <w:tcPr>
            <w:tcW w:w="1003" w:type="dxa"/>
            <w:tcBorders>
              <w:top w:val="nil"/>
              <w:left w:val="nil"/>
              <w:bottom w:val="single" w:sz="4" w:space="0" w:color="auto"/>
              <w:right w:val="single" w:sz="8" w:space="0" w:color="auto"/>
            </w:tcBorders>
            <w:shd w:val="clear" w:color="000000" w:fill="C0C0C0"/>
            <w:noWrap/>
            <w:vAlign w:val="bottom"/>
            <w:hideMark/>
          </w:tcPr>
          <w:p w:rsidR="00CF0F8C" w:rsidRPr="00A85531" w:rsidRDefault="00CF0F8C" w:rsidP="00A85531">
            <w:pPr>
              <w:widowControl/>
              <w:autoSpaceDE/>
              <w:autoSpaceDN/>
              <w:jc w:val="right"/>
              <w:rPr>
                <w:rFonts w:ascii="Arial" w:hAnsi="Arial" w:cs="Arial"/>
                <w:b/>
                <w:bCs/>
                <w:sz w:val="20"/>
                <w:szCs w:val="20"/>
                <w:lang w:val="et-EE" w:eastAsia="et-EE"/>
              </w:rPr>
            </w:pPr>
            <w:r w:rsidRPr="00A85531">
              <w:rPr>
                <w:rFonts w:ascii="Arial" w:hAnsi="Arial" w:cs="Arial"/>
                <w:b/>
                <w:bCs/>
                <w:sz w:val="20"/>
                <w:szCs w:val="20"/>
                <w:lang w:val="et-EE" w:eastAsia="et-EE"/>
              </w:rPr>
              <w:t>12 835</w:t>
            </w:r>
          </w:p>
        </w:tc>
      </w:tr>
      <w:tr w:rsidR="00CF0F8C" w:rsidRPr="00A85531" w:rsidTr="00FA1C99">
        <w:trPr>
          <w:trHeight w:val="190"/>
        </w:trPr>
        <w:tc>
          <w:tcPr>
            <w:tcW w:w="4738" w:type="dxa"/>
            <w:tcBorders>
              <w:top w:val="nil"/>
              <w:left w:val="single" w:sz="8" w:space="0" w:color="auto"/>
              <w:bottom w:val="single" w:sz="4" w:space="0" w:color="auto"/>
              <w:right w:val="single" w:sz="4" w:space="0" w:color="auto"/>
            </w:tcBorders>
            <w:shd w:val="clear" w:color="auto" w:fill="auto"/>
            <w:hideMark/>
          </w:tcPr>
          <w:p w:rsidR="00CF0F8C" w:rsidRPr="00A85531" w:rsidRDefault="00CF0F8C" w:rsidP="00A85531">
            <w:pPr>
              <w:widowControl/>
              <w:autoSpaceDE/>
              <w:autoSpaceDN/>
              <w:rPr>
                <w:rFonts w:ascii="Arial" w:hAnsi="Arial" w:cs="Arial"/>
                <w:b/>
                <w:bCs/>
                <w:sz w:val="20"/>
                <w:szCs w:val="20"/>
                <w:lang w:val="et-EE" w:eastAsia="et-EE"/>
              </w:rPr>
            </w:pPr>
            <w:r w:rsidRPr="00A85531">
              <w:rPr>
                <w:rFonts w:ascii="Arial" w:hAnsi="Arial" w:cs="Arial"/>
                <w:b/>
                <w:bCs/>
                <w:sz w:val="20"/>
                <w:szCs w:val="20"/>
                <w:lang w:val="et-EE" w:eastAsia="et-EE"/>
              </w:rPr>
              <w:t>Võlakohustused kokku aasta lõpu seisuga</w:t>
            </w:r>
          </w:p>
        </w:tc>
        <w:tc>
          <w:tcPr>
            <w:tcW w:w="1304" w:type="dxa"/>
            <w:tcBorders>
              <w:top w:val="nil"/>
              <w:left w:val="nil"/>
              <w:bottom w:val="single" w:sz="4" w:space="0" w:color="auto"/>
              <w:right w:val="single" w:sz="4" w:space="0" w:color="auto"/>
            </w:tcBorders>
            <w:shd w:val="clear" w:color="auto" w:fill="auto"/>
            <w:noWrap/>
            <w:vAlign w:val="bottom"/>
            <w:hideMark/>
          </w:tcPr>
          <w:p w:rsidR="00CF0F8C" w:rsidRPr="00A85531" w:rsidRDefault="00CF0F8C" w:rsidP="00A85531">
            <w:pPr>
              <w:widowControl/>
              <w:autoSpaceDE/>
              <w:autoSpaceDN/>
              <w:jc w:val="right"/>
              <w:rPr>
                <w:rFonts w:ascii="Arial" w:hAnsi="Arial" w:cs="Arial"/>
                <w:sz w:val="20"/>
                <w:szCs w:val="20"/>
                <w:lang w:val="et-EE" w:eastAsia="et-EE"/>
              </w:rPr>
            </w:pPr>
            <w:r w:rsidRPr="00A85531">
              <w:rPr>
                <w:rFonts w:ascii="Arial" w:hAnsi="Arial" w:cs="Arial"/>
                <w:sz w:val="20"/>
                <w:szCs w:val="20"/>
                <w:lang w:val="et-EE" w:eastAsia="et-EE"/>
              </w:rPr>
              <w:t>-6 195</w:t>
            </w:r>
          </w:p>
        </w:tc>
        <w:tc>
          <w:tcPr>
            <w:tcW w:w="1003" w:type="dxa"/>
            <w:tcBorders>
              <w:top w:val="nil"/>
              <w:left w:val="nil"/>
              <w:bottom w:val="single" w:sz="4" w:space="0" w:color="auto"/>
              <w:right w:val="single" w:sz="4" w:space="0" w:color="auto"/>
            </w:tcBorders>
            <w:shd w:val="clear" w:color="auto" w:fill="auto"/>
            <w:noWrap/>
            <w:vAlign w:val="bottom"/>
            <w:hideMark/>
          </w:tcPr>
          <w:p w:rsidR="00CF0F8C" w:rsidRPr="00A85531" w:rsidRDefault="00CF0F8C" w:rsidP="00A85531">
            <w:pPr>
              <w:widowControl/>
              <w:autoSpaceDE/>
              <w:autoSpaceDN/>
              <w:jc w:val="right"/>
              <w:rPr>
                <w:rFonts w:ascii="Arial" w:hAnsi="Arial" w:cs="Arial"/>
                <w:sz w:val="20"/>
                <w:szCs w:val="20"/>
                <w:lang w:val="et-EE" w:eastAsia="et-EE"/>
              </w:rPr>
            </w:pPr>
            <w:r w:rsidRPr="00A85531">
              <w:rPr>
                <w:rFonts w:ascii="Arial" w:hAnsi="Arial" w:cs="Arial"/>
                <w:sz w:val="20"/>
                <w:szCs w:val="20"/>
                <w:lang w:val="et-EE" w:eastAsia="et-EE"/>
              </w:rPr>
              <w:t>-12 195</w:t>
            </w:r>
          </w:p>
        </w:tc>
        <w:tc>
          <w:tcPr>
            <w:tcW w:w="1083" w:type="dxa"/>
            <w:tcBorders>
              <w:top w:val="nil"/>
              <w:left w:val="nil"/>
              <w:bottom w:val="single" w:sz="4" w:space="0" w:color="auto"/>
              <w:right w:val="single" w:sz="4" w:space="0" w:color="auto"/>
            </w:tcBorders>
            <w:shd w:val="clear" w:color="auto" w:fill="auto"/>
            <w:noWrap/>
            <w:vAlign w:val="bottom"/>
            <w:hideMark/>
          </w:tcPr>
          <w:p w:rsidR="00CF0F8C" w:rsidRPr="00A85531" w:rsidRDefault="00CF0F8C" w:rsidP="00A85531">
            <w:pPr>
              <w:widowControl/>
              <w:autoSpaceDE/>
              <w:autoSpaceDN/>
              <w:jc w:val="right"/>
              <w:rPr>
                <w:rFonts w:ascii="Arial" w:hAnsi="Arial" w:cs="Arial"/>
                <w:sz w:val="20"/>
                <w:szCs w:val="20"/>
                <w:lang w:val="et-EE" w:eastAsia="et-EE"/>
              </w:rPr>
            </w:pPr>
            <w:r w:rsidRPr="00A85531">
              <w:rPr>
                <w:rFonts w:ascii="Arial" w:hAnsi="Arial" w:cs="Arial"/>
                <w:sz w:val="20"/>
                <w:szCs w:val="20"/>
                <w:lang w:val="et-EE" w:eastAsia="et-EE"/>
              </w:rPr>
              <w:t>-18 195</w:t>
            </w:r>
          </w:p>
        </w:tc>
        <w:tc>
          <w:tcPr>
            <w:tcW w:w="1102" w:type="dxa"/>
            <w:tcBorders>
              <w:top w:val="nil"/>
              <w:left w:val="nil"/>
              <w:bottom w:val="single" w:sz="4" w:space="0" w:color="auto"/>
              <w:right w:val="single" w:sz="4" w:space="0" w:color="auto"/>
            </w:tcBorders>
            <w:shd w:val="clear" w:color="auto" w:fill="auto"/>
            <w:noWrap/>
            <w:vAlign w:val="bottom"/>
            <w:hideMark/>
          </w:tcPr>
          <w:p w:rsidR="00CF0F8C" w:rsidRPr="00A85531" w:rsidRDefault="00CF0F8C" w:rsidP="00A85531">
            <w:pPr>
              <w:widowControl/>
              <w:autoSpaceDE/>
              <w:autoSpaceDN/>
              <w:jc w:val="right"/>
              <w:rPr>
                <w:rFonts w:ascii="Arial" w:hAnsi="Arial" w:cs="Arial"/>
                <w:sz w:val="20"/>
                <w:szCs w:val="20"/>
                <w:lang w:val="et-EE" w:eastAsia="et-EE"/>
              </w:rPr>
            </w:pPr>
            <w:r w:rsidRPr="00A85531">
              <w:rPr>
                <w:rFonts w:ascii="Arial" w:hAnsi="Arial" w:cs="Arial"/>
                <w:sz w:val="20"/>
                <w:szCs w:val="20"/>
                <w:lang w:val="et-EE" w:eastAsia="et-EE"/>
              </w:rPr>
              <w:t>-24 195</w:t>
            </w:r>
          </w:p>
        </w:tc>
        <w:tc>
          <w:tcPr>
            <w:tcW w:w="1003" w:type="dxa"/>
            <w:tcBorders>
              <w:top w:val="nil"/>
              <w:left w:val="nil"/>
              <w:bottom w:val="single" w:sz="4" w:space="0" w:color="auto"/>
              <w:right w:val="single" w:sz="4" w:space="0" w:color="auto"/>
            </w:tcBorders>
            <w:shd w:val="clear" w:color="auto" w:fill="auto"/>
            <w:noWrap/>
            <w:vAlign w:val="bottom"/>
            <w:hideMark/>
          </w:tcPr>
          <w:p w:rsidR="00CF0F8C" w:rsidRPr="00A85531" w:rsidRDefault="00CF0F8C" w:rsidP="00A85531">
            <w:pPr>
              <w:widowControl/>
              <w:autoSpaceDE/>
              <w:autoSpaceDN/>
              <w:jc w:val="right"/>
              <w:rPr>
                <w:rFonts w:ascii="Arial" w:hAnsi="Arial" w:cs="Arial"/>
                <w:sz w:val="20"/>
                <w:szCs w:val="20"/>
                <w:lang w:val="et-EE" w:eastAsia="et-EE"/>
              </w:rPr>
            </w:pPr>
            <w:r w:rsidRPr="00A85531">
              <w:rPr>
                <w:rFonts w:ascii="Arial" w:hAnsi="Arial" w:cs="Arial"/>
                <w:sz w:val="20"/>
                <w:szCs w:val="20"/>
                <w:lang w:val="et-EE" w:eastAsia="et-EE"/>
              </w:rPr>
              <w:t>-24 195</w:t>
            </w:r>
          </w:p>
        </w:tc>
      </w:tr>
      <w:tr w:rsidR="00CF0F8C" w:rsidRPr="00A85531" w:rsidTr="00FA1C99">
        <w:trPr>
          <w:trHeight w:val="417"/>
        </w:trPr>
        <w:tc>
          <w:tcPr>
            <w:tcW w:w="4738" w:type="dxa"/>
            <w:tcBorders>
              <w:top w:val="nil"/>
              <w:left w:val="single" w:sz="8" w:space="0" w:color="auto"/>
              <w:bottom w:val="single" w:sz="4" w:space="0" w:color="auto"/>
              <w:right w:val="single" w:sz="4" w:space="0" w:color="auto"/>
            </w:tcBorders>
            <w:shd w:val="clear" w:color="auto" w:fill="auto"/>
            <w:vAlign w:val="bottom"/>
            <w:hideMark/>
          </w:tcPr>
          <w:p w:rsidR="00CF0F8C" w:rsidRPr="00A85531" w:rsidRDefault="00CF0F8C" w:rsidP="00A85531">
            <w:pPr>
              <w:widowControl/>
              <w:autoSpaceDE/>
              <w:autoSpaceDN/>
              <w:rPr>
                <w:rFonts w:ascii="Arial" w:hAnsi="Arial" w:cs="Arial"/>
                <w:b/>
                <w:bCs/>
                <w:sz w:val="20"/>
                <w:szCs w:val="20"/>
                <w:lang w:val="et-EE" w:eastAsia="et-EE"/>
              </w:rPr>
            </w:pPr>
            <w:r w:rsidRPr="00A85531">
              <w:rPr>
                <w:rFonts w:ascii="Arial" w:hAnsi="Arial" w:cs="Arial"/>
                <w:b/>
                <w:bCs/>
                <w:sz w:val="20"/>
                <w:szCs w:val="20"/>
                <w:lang w:val="et-EE" w:eastAsia="et-EE"/>
              </w:rPr>
              <w:t>Netovõlakoormus (eurodes)</w:t>
            </w:r>
          </w:p>
        </w:tc>
        <w:tc>
          <w:tcPr>
            <w:tcW w:w="1304" w:type="dxa"/>
            <w:tcBorders>
              <w:top w:val="nil"/>
              <w:left w:val="nil"/>
              <w:bottom w:val="single" w:sz="4" w:space="0" w:color="auto"/>
              <w:right w:val="single" w:sz="4" w:space="0" w:color="auto"/>
            </w:tcBorders>
            <w:shd w:val="clear" w:color="000000" w:fill="C0C0C0"/>
            <w:vAlign w:val="bottom"/>
            <w:hideMark/>
          </w:tcPr>
          <w:p w:rsidR="00CF0F8C" w:rsidRPr="00A85531" w:rsidRDefault="00CF0F8C" w:rsidP="00A85531">
            <w:pPr>
              <w:widowControl/>
              <w:autoSpaceDE/>
              <w:autoSpaceDN/>
              <w:jc w:val="right"/>
              <w:rPr>
                <w:rFonts w:ascii="Arial" w:hAnsi="Arial" w:cs="Arial"/>
                <w:sz w:val="20"/>
                <w:szCs w:val="20"/>
                <w:lang w:val="et-EE" w:eastAsia="et-EE"/>
              </w:rPr>
            </w:pPr>
            <w:r w:rsidRPr="00A85531">
              <w:rPr>
                <w:rFonts w:ascii="Arial" w:hAnsi="Arial" w:cs="Arial"/>
                <w:sz w:val="20"/>
                <w:szCs w:val="20"/>
                <w:lang w:val="et-EE" w:eastAsia="et-EE"/>
              </w:rPr>
              <w:t>11 659</w:t>
            </w:r>
          </w:p>
        </w:tc>
        <w:tc>
          <w:tcPr>
            <w:tcW w:w="1003" w:type="dxa"/>
            <w:tcBorders>
              <w:top w:val="single" w:sz="4" w:space="0" w:color="auto"/>
              <w:left w:val="nil"/>
              <w:bottom w:val="single" w:sz="4" w:space="0" w:color="auto"/>
              <w:right w:val="single" w:sz="4" w:space="0" w:color="auto"/>
            </w:tcBorders>
            <w:shd w:val="clear" w:color="000000" w:fill="C0C0C0"/>
            <w:vAlign w:val="bottom"/>
            <w:hideMark/>
          </w:tcPr>
          <w:p w:rsidR="00CF0F8C" w:rsidRPr="00A85531" w:rsidRDefault="00CF0F8C" w:rsidP="00A85531">
            <w:pPr>
              <w:widowControl/>
              <w:autoSpaceDE/>
              <w:autoSpaceDN/>
              <w:jc w:val="right"/>
              <w:rPr>
                <w:rFonts w:ascii="Arial" w:hAnsi="Arial" w:cs="Arial"/>
                <w:sz w:val="20"/>
                <w:szCs w:val="20"/>
                <w:lang w:val="et-EE" w:eastAsia="et-EE"/>
              </w:rPr>
            </w:pPr>
            <w:r w:rsidRPr="00A85531">
              <w:rPr>
                <w:rFonts w:ascii="Arial" w:hAnsi="Arial" w:cs="Arial"/>
                <w:sz w:val="20"/>
                <w:szCs w:val="20"/>
                <w:lang w:val="et-EE" w:eastAsia="et-EE"/>
              </w:rPr>
              <w:t>0</w:t>
            </w:r>
          </w:p>
        </w:tc>
        <w:tc>
          <w:tcPr>
            <w:tcW w:w="1083" w:type="dxa"/>
            <w:tcBorders>
              <w:top w:val="single" w:sz="4" w:space="0" w:color="auto"/>
              <w:left w:val="nil"/>
              <w:bottom w:val="single" w:sz="4" w:space="0" w:color="auto"/>
              <w:right w:val="single" w:sz="4" w:space="0" w:color="auto"/>
            </w:tcBorders>
            <w:shd w:val="clear" w:color="000000" w:fill="C0C0C0"/>
            <w:vAlign w:val="bottom"/>
            <w:hideMark/>
          </w:tcPr>
          <w:p w:rsidR="00CF0F8C" w:rsidRPr="00A85531" w:rsidRDefault="00CF0F8C" w:rsidP="00A85531">
            <w:pPr>
              <w:widowControl/>
              <w:autoSpaceDE/>
              <w:autoSpaceDN/>
              <w:jc w:val="right"/>
              <w:rPr>
                <w:rFonts w:ascii="Arial" w:hAnsi="Arial" w:cs="Arial"/>
                <w:sz w:val="20"/>
                <w:szCs w:val="20"/>
                <w:lang w:val="et-EE" w:eastAsia="et-EE"/>
              </w:rPr>
            </w:pPr>
            <w:r w:rsidRPr="00A85531">
              <w:rPr>
                <w:rFonts w:ascii="Arial" w:hAnsi="Arial" w:cs="Arial"/>
                <w:sz w:val="20"/>
                <w:szCs w:val="20"/>
                <w:lang w:val="et-EE" w:eastAsia="et-EE"/>
              </w:rPr>
              <w:t>0</w:t>
            </w:r>
          </w:p>
        </w:tc>
        <w:tc>
          <w:tcPr>
            <w:tcW w:w="1102" w:type="dxa"/>
            <w:tcBorders>
              <w:top w:val="single" w:sz="4" w:space="0" w:color="auto"/>
              <w:left w:val="nil"/>
              <w:bottom w:val="single" w:sz="4" w:space="0" w:color="auto"/>
              <w:right w:val="single" w:sz="4" w:space="0" w:color="auto"/>
            </w:tcBorders>
            <w:shd w:val="clear" w:color="000000" w:fill="C0C0C0"/>
            <w:vAlign w:val="bottom"/>
            <w:hideMark/>
          </w:tcPr>
          <w:p w:rsidR="00CF0F8C" w:rsidRPr="00A85531" w:rsidRDefault="00CF0F8C" w:rsidP="00A85531">
            <w:pPr>
              <w:widowControl/>
              <w:autoSpaceDE/>
              <w:autoSpaceDN/>
              <w:jc w:val="right"/>
              <w:rPr>
                <w:rFonts w:ascii="Arial" w:hAnsi="Arial" w:cs="Arial"/>
                <w:sz w:val="20"/>
                <w:szCs w:val="20"/>
                <w:lang w:val="et-EE" w:eastAsia="et-EE"/>
              </w:rPr>
            </w:pPr>
            <w:r w:rsidRPr="00A85531">
              <w:rPr>
                <w:rFonts w:ascii="Arial" w:hAnsi="Arial" w:cs="Arial"/>
                <w:sz w:val="20"/>
                <w:szCs w:val="20"/>
                <w:lang w:val="et-EE" w:eastAsia="et-EE"/>
              </w:rPr>
              <w:t>0</w:t>
            </w:r>
          </w:p>
        </w:tc>
        <w:tc>
          <w:tcPr>
            <w:tcW w:w="1003" w:type="dxa"/>
            <w:tcBorders>
              <w:top w:val="single" w:sz="4" w:space="0" w:color="auto"/>
              <w:left w:val="nil"/>
              <w:bottom w:val="single" w:sz="4" w:space="0" w:color="auto"/>
              <w:right w:val="single" w:sz="8" w:space="0" w:color="auto"/>
            </w:tcBorders>
            <w:shd w:val="clear" w:color="000000" w:fill="C0C0C0"/>
            <w:vAlign w:val="bottom"/>
            <w:hideMark/>
          </w:tcPr>
          <w:p w:rsidR="00CF0F8C" w:rsidRPr="00A85531" w:rsidRDefault="00CF0F8C" w:rsidP="00A85531">
            <w:pPr>
              <w:widowControl/>
              <w:autoSpaceDE/>
              <w:autoSpaceDN/>
              <w:jc w:val="right"/>
              <w:rPr>
                <w:rFonts w:ascii="Arial" w:hAnsi="Arial" w:cs="Arial"/>
                <w:sz w:val="20"/>
                <w:szCs w:val="20"/>
                <w:lang w:val="et-EE" w:eastAsia="et-EE"/>
              </w:rPr>
            </w:pPr>
            <w:r w:rsidRPr="00A85531">
              <w:rPr>
                <w:rFonts w:ascii="Arial" w:hAnsi="Arial" w:cs="Arial"/>
                <w:sz w:val="20"/>
                <w:szCs w:val="20"/>
                <w:lang w:val="et-EE" w:eastAsia="et-EE"/>
              </w:rPr>
              <w:t>0</w:t>
            </w:r>
          </w:p>
        </w:tc>
      </w:tr>
      <w:tr w:rsidR="00CF0F8C" w:rsidRPr="00A85531" w:rsidTr="00FA1C99">
        <w:trPr>
          <w:trHeight w:val="201"/>
        </w:trPr>
        <w:tc>
          <w:tcPr>
            <w:tcW w:w="4738" w:type="dxa"/>
            <w:tcBorders>
              <w:top w:val="nil"/>
              <w:left w:val="single" w:sz="8" w:space="0" w:color="auto"/>
              <w:bottom w:val="single" w:sz="8" w:space="0" w:color="auto"/>
              <w:right w:val="single" w:sz="4" w:space="0" w:color="auto"/>
            </w:tcBorders>
            <w:shd w:val="clear" w:color="auto" w:fill="auto"/>
            <w:vAlign w:val="bottom"/>
            <w:hideMark/>
          </w:tcPr>
          <w:p w:rsidR="00CF0F8C" w:rsidRPr="00A85531" w:rsidRDefault="00CF0F8C" w:rsidP="00A85531">
            <w:pPr>
              <w:widowControl/>
              <w:autoSpaceDE/>
              <w:autoSpaceDN/>
              <w:rPr>
                <w:rFonts w:ascii="Arial" w:hAnsi="Arial" w:cs="Arial"/>
                <w:b/>
                <w:bCs/>
                <w:sz w:val="20"/>
                <w:szCs w:val="20"/>
                <w:lang w:val="et-EE" w:eastAsia="et-EE"/>
              </w:rPr>
            </w:pPr>
            <w:r w:rsidRPr="00A85531">
              <w:rPr>
                <w:rFonts w:ascii="Arial" w:hAnsi="Arial" w:cs="Arial"/>
                <w:b/>
                <w:bCs/>
                <w:sz w:val="20"/>
                <w:szCs w:val="20"/>
                <w:lang w:val="et-EE" w:eastAsia="et-EE"/>
              </w:rPr>
              <w:t>Netovõlakoormus (%)</w:t>
            </w:r>
          </w:p>
        </w:tc>
        <w:tc>
          <w:tcPr>
            <w:tcW w:w="1304" w:type="dxa"/>
            <w:tcBorders>
              <w:top w:val="nil"/>
              <w:left w:val="nil"/>
              <w:bottom w:val="single" w:sz="8" w:space="0" w:color="auto"/>
              <w:right w:val="single" w:sz="4" w:space="0" w:color="auto"/>
            </w:tcBorders>
            <w:shd w:val="clear" w:color="000000" w:fill="C0C0C0"/>
            <w:vAlign w:val="bottom"/>
            <w:hideMark/>
          </w:tcPr>
          <w:p w:rsidR="00CF0F8C" w:rsidRPr="00A85531" w:rsidRDefault="00CF0F8C" w:rsidP="00A85531">
            <w:pPr>
              <w:widowControl/>
              <w:autoSpaceDE/>
              <w:autoSpaceDN/>
              <w:jc w:val="right"/>
              <w:rPr>
                <w:rFonts w:ascii="Arial" w:hAnsi="Arial" w:cs="Arial"/>
                <w:sz w:val="20"/>
                <w:szCs w:val="20"/>
                <w:lang w:val="et-EE" w:eastAsia="et-EE"/>
              </w:rPr>
            </w:pPr>
            <w:r w:rsidRPr="00A85531">
              <w:rPr>
                <w:rFonts w:ascii="Arial" w:hAnsi="Arial" w:cs="Arial"/>
                <w:sz w:val="20"/>
                <w:szCs w:val="20"/>
                <w:lang w:val="et-EE" w:eastAsia="et-EE"/>
              </w:rPr>
              <w:t>7,3%</w:t>
            </w:r>
          </w:p>
        </w:tc>
        <w:tc>
          <w:tcPr>
            <w:tcW w:w="1003" w:type="dxa"/>
            <w:tcBorders>
              <w:top w:val="nil"/>
              <w:left w:val="nil"/>
              <w:bottom w:val="single" w:sz="8" w:space="0" w:color="auto"/>
              <w:right w:val="single" w:sz="4" w:space="0" w:color="auto"/>
            </w:tcBorders>
            <w:shd w:val="clear" w:color="000000" w:fill="C0C0C0"/>
            <w:vAlign w:val="bottom"/>
            <w:hideMark/>
          </w:tcPr>
          <w:p w:rsidR="00CF0F8C" w:rsidRPr="00A85531" w:rsidRDefault="00CF0F8C" w:rsidP="00A85531">
            <w:pPr>
              <w:widowControl/>
              <w:autoSpaceDE/>
              <w:autoSpaceDN/>
              <w:jc w:val="right"/>
              <w:rPr>
                <w:rFonts w:ascii="Arial" w:hAnsi="Arial" w:cs="Arial"/>
                <w:sz w:val="20"/>
                <w:szCs w:val="20"/>
                <w:lang w:val="et-EE" w:eastAsia="et-EE"/>
              </w:rPr>
            </w:pPr>
            <w:r w:rsidRPr="00A85531">
              <w:rPr>
                <w:rFonts w:ascii="Arial" w:hAnsi="Arial" w:cs="Arial"/>
                <w:sz w:val="20"/>
                <w:szCs w:val="20"/>
                <w:lang w:val="et-EE" w:eastAsia="et-EE"/>
              </w:rPr>
              <w:t>0,0%</w:t>
            </w:r>
          </w:p>
        </w:tc>
        <w:tc>
          <w:tcPr>
            <w:tcW w:w="1083" w:type="dxa"/>
            <w:tcBorders>
              <w:top w:val="nil"/>
              <w:left w:val="nil"/>
              <w:bottom w:val="single" w:sz="8" w:space="0" w:color="auto"/>
              <w:right w:val="single" w:sz="4" w:space="0" w:color="auto"/>
            </w:tcBorders>
            <w:shd w:val="clear" w:color="000000" w:fill="C0C0C0"/>
            <w:vAlign w:val="bottom"/>
            <w:hideMark/>
          </w:tcPr>
          <w:p w:rsidR="00CF0F8C" w:rsidRPr="00A85531" w:rsidRDefault="00CF0F8C" w:rsidP="00A85531">
            <w:pPr>
              <w:widowControl/>
              <w:autoSpaceDE/>
              <w:autoSpaceDN/>
              <w:jc w:val="right"/>
              <w:rPr>
                <w:rFonts w:ascii="Arial" w:hAnsi="Arial" w:cs="Arial"/>
                <w:sz w:val="20"/>
                <w:szCs w:val="20"/>
                <w:lang w:val="et-EE" w:eastAsia="et-EE"/>
              </w:rPr>
            </w:pPr>
            <w:r w:rsidRPr="00A85531">
              <w:rPr>
                <w:rFonts w:ascii="Arial" w:hAnsi="Arial" w:cs="Arial"/>
                <w:sz w:val="20"/>
                <w:szCs w:val="20"/>
                <w:lang w:val="et-EE" w:eastAsia="et-EE"/>
              </w:rPr>
              <w:t>0,0%</w:t>
            </w:r>
          </w:p>
        </w:tc>
        <w:tc>
          <w:tcPr>
            <w:tcW w:w="1102" w:type="dxa"/>
            <w:tcBorders>
              <w:top w:val="nil"/>
              <w:left w:val="nil"/>
              <w:bottom w:val="single" w:sz="8" w:space="0" w:color="auto"/>
              <w:right w:val="single" w:sz="4" w:space="0" w:color="auto"/>
            </w:tcBorders>
            <w:shd w:val="clear" w:color="000000" w:fill="C0C0C0"/>
            <w:vAlign w:val="bottom"/>
            <w:hideMark/>
          </w:tcPr>
          <w:p w:rsidR="00CF0F8C" w:rsidRPr="00A85531" w:rsidRDefault="00CF0F8C" w:rsidP="00A85531">
            <w:pPr>
              <w:widowControl/>
              <w:autoSpaceDE/>
              <w:autoSpaceDN/>
              <w:jc w:val="right"/>
              <w:rPr>
                <w:rFonts w:ascii="Arial" w:hAnsi="Arial" w:cs="Arial"/>
                <w:sz w:val="20"/>
                <w:szCs w:val="20"/>
                <w:lang w:val="et-EE" w:eastAsia="et-EE"/>
              </w:rPr>
            </w:pPr>
            <w:r w:rsidRPr="00A85531">
              <w:rPr>
                <w:rFonts w:ascii="Arial" w:hAnsi="Arial" w:cs="Arial"/>
                <w:sz w:val="20"/>
                <w:szCs w:val="20"/>
                <w:lang w:val="et-EE" w:eastAsia="et-EE"/>
              </w:rPr>
              <w:t>0,0%</w:t>
            </w:r>
          </w:p>
        </w:tc>
        <w:tc>
          <w:tcPr>
            <w:tcW w:w="1003" w:type="dxa"/>
            <w:tcBorders>
              <w:top w:val="nil"/>
              <w:left w:val="nil"/>
              <w:bottom w:val="single" w:sz="8" w:space="0" w:color="auto"/>
              <w:right w:val="single" w:sz="8" w:space="0" w:color="auto"/>
            </w:tcBorders>
            <w:shd w:val="clear" w:color="000000" w:fill="C0C0C0"/>
            <w:vAlign w:val="bottom"/>
            <w:hideMark/>
          </w:tcPr>
          <w:p w:rsidR="00CF0F8C" w:rsidRPr="00A85531" w:rsidRDefault="00CF0F8C" w:rsidP="00A85531">
            <w:pPr>
              <w:widowControl/>
              <w:autoSpaceDE/>
              <w:autoSpaceDN/>
              <w:jc w:val="right"/>
              <w:rPr>
                <w:rFonts w:ascii="Arial" w:hAnsi="Arial" w:cs="Arial"/>
                <w:sz w:val="20"/>
                <w:szCs w:val="20"/>
                <w:lang w:val="et-EE" w:eastAsia="et-EE"/>
              </w:rPr>
            </w:pPr>
            <w:r w:rsidRPr="00A85531">
              <w:rPr>
                <w:rFonts w:ascii="Arial" w:hAnsi="Arial" w:cs="Arial"/>
                <w:sz w:val="20"/>
                <w:szCs w:val="20"/>
                <w:lang w:val="et-EE" w:eastAsia="et-EE"/>
              </w:rPr>
              <w:t>0,0%</w:t>
            </w:r>
          </w:p>
        </w:tc>
      </w:tr>
    </w:tbl>
    <w:p w:rsidR="00BF1CE1" w:rsidRDefault="00BF1CE1" w:rsidP="00326510">
      <w:pPr>
        <w:jc w:val="both"/>
        <w:rPr>
          <w:sz w:val="24"/>
          <w:szCs w:val="24"/>
        </w:rPr>
      </w:pPr>
    </w:p>
    <w:p w:rsidR="00BF1CE1" w:rsidRDefault="00F417DC" w:rsidP="00326510">
      <w:pPr>
        <w:jc w:val="both"/>
        <w:rPr>
          <w:sz w:val="24"/>
          <w:szCs w:val="24"/>
        </w:rPr>
      </w:pPr>
      <w:r>
        <w:rPr>
          <w:sz w:val="24"/>
          <w:szCs w:val="24"/>
        </w:rPr>
        <w:t>Vinni valla finantsnäitajad eelarvestrateegia perioodiks kajastuvad all olevas tabelis.</w:t>
      </w:r>
    </w:p>
    <w:p w:rsidR="00092D36" w:rsidRDefault="00092D36" w:rsidP="00326510">
      <w:pPr>
        <w:jc w:val="both"/>
        <w:rPr>
          <w:sz w:val="24"/>
          <w:szCs w:val="24"/>
        </w:rPr>
      </w:pPr>
    </w:p>
    <w:tbl>
      <w:tblPr>
        <w:tblW w:w="10264" w:type="dxa"/>
        <w:tblCellMar>
          <w:left w:w="70" w:type="dxa"/>
          <w:right w:w="70" w:type="dxa"/>
        </w:tblCellMar>
        <w:tblLook w:val="04A0" w:firstRow="1" w:lastRow="0" w:firstColumn="1" w:lastColumn="0" w:noHBand="0" w:noVBand="1"/>
      </w:tblPr>
      <w:tblGrid>
        <w:gridCol w:w="4312"/>
        <w:gridCol w:w="1275"/>
        <w:gridCol w:w="1160"/>
        <w:gridCol w:w="1160"/>
        <w:gridCol w:w="1160"/>
        <w:gridCol w:w="1197"/>
      </w:tblGrid>
      <w:tr w:rsidR="00B07D23" w:rsidRPr="00B07D23" w:rsidTr="00FA1C99">
        <w:trPr>
          <w:trHeight w:val="759"/>
        </w:trPr>
        <w:tc>
          <w:tcPr>
            <w:tcW w:w="4312" w:type="dxa"/>
            <w:tcBorders>
              <w:top w:val="single" w:sz="8" w:space="0" w:color="auto"/>
              <w:left w:val="single" w:sz="8" w:space="0" w:color="auto"/>
              <w:bottom w:val="single" w:sz="4" w:space="0" w:color="auto"/>
              <w:right w:val="single" w:sz="4" w:space="0" w:color="auto"/>
            </w:tcBorders>
            <w:shd w:val="clear" w:color="000000" w:fill="CCFFCC"/>
            <w:vAlign w:val="bottom"/>
            <w:hideMark/>
          </w:tcPr>
          <w:p w:rsidR="00B07D23" w:rsidRPr="00B07D23" w:rsidRDefault="00B07D23" w:rsidP="00B07D23">
            <w:pPr>
              <w:widowControl/>
              <w:autoSpaceDE/>
              <w:autoSpaceDN/>
              <w:rPr>
                <w:rFonts w:ascii="Arial" w:hAnsi="Arial" w:cs="Arial"/>
                <w:b/>
                <w:bCs/>
                <w:sz w:val="20"/>
                <w:szCs w:val="20"/>
                <w:lang w:val="et-EE" w:eastAsia="et-EE"/>
              </w:rPr>
            </w:pPr>
            <w:r w:rsidRPr="00B07D23">
              <w:rPr>
                <w:rFonts w:ascii="Arial" w:hAnsi="Arial" w:cs="Arial"/>
                <w:b/>
                <w:bCs/>
                <w:sz w:val="20"/>
                <w:szCs w:val="20"/>
                <w:lang w:val="et-EE" w:eastAsia="et-EE"/>
              </w:rPr>
              <w:t>Arvestusüksus (nimi)</w:t>
            </w:r>
          </w:p>
        </w:tc>
        <w:tc>
          <w:tcPr>
            <w:tcW w:w="1275" w:type="dxa"/>
            <w:tcBorders>
              <w:top w:val="single" w:sz="8" w:space="0" w:color="auto"/>
              <w:left w:val="nil"/>
              <w:bottom w:val="single" w:sz="8" w:space="0" w:color="auto"/>
              <w:right w:val="single" w:sz="4" w:space="0" w:color="auto"/>
            </w:tcBorders>
            <w:shd w:val="clear" w:color="000000" w:fill="CCFFCC"/>
            <w:vAlign w:val="bottom"/>
            <w:hideMark/>
          </w:tcPr>
          <w:p w:rsidR="00B07D23" w:rsidRPr="00B07D23" w:rsidRDefault="00B07D23" w:rsidP="00B07D23">
            <w:pPr>
              <w:widowControl/>
              <w:autoSpaceDE/>
              <w:autoSpaceDN/>
              <w:jc w:val="center"/>
              <w:rPr>
                <w:rFonts w:ascii="Arial" w:hAnsi="Arial" w:cs="Arial"/>
                <w:b/>
                <w:bCs/>
                <w:sz w:val="20"/>
                <w:szCs w:val="20"/>
                <w:lang w:val="et-EE" w:eastAsia="et-EE"/>
              </w:rPr>
            </w:pPr>
            <w:r w:rsidRPr="00B07D23">
              <w:rPr>
                <w:rFonts w:ascii="Arial" w:hAnsi="Arial" w:cs="Arial"/>
                <w:b/>
                <w:bCs/>
                <w:sz w:val="20"/>
                <w:szCs w:val="20"/>
                <w:lang w:val="et-EE" w:eastAsia="et-EE"/>
              </w:rPr>
              <w:t>2019 eeldatav täitmine</w:t>
            </w:r>
          </w:p>
        </w:tc>
        <w:tc>
          <w:tcPr>
            <w:tcW w:w="1160" w:type="dxa"/>
            <w:tcBorders>
              <w:top w:val="single" w:sz="8" w:space="0" w:color="auto"/>
              <w:left w:val="nil"/>
              <w:bottom w:val="single" w:sz="8" w:space="0" w:color="auto"/>
              <w:right w:val="single" w:sz="4" w:space="0" w:color="auto"/>
            </w:tcBorders>
            <w:shd w:val="clear" w:color="000000" w:fill="CCFFCC"/>
            <w:vAlign w:val="bottom"/>
            <w:hideMark/>
          </w:tcPr>
          <w:p w:rsidR="00B07D23" w:rsidRPr="00B07D23" w:rsidRDefault="00B07D23" w:rsidP="00B07D23">
            <w:pPr>
              <w:widowControl/>
              <w:autoSpaceDE/>
              <w:autoSpaceDN/>
              <w:jc w:val="center"/>
              <w:rPr>
                <w:rFonts w:ascii="Arial" w:hAnsi="Arial" w:cs="Arial"/>
                <w:b/>
                <w:bCs/>
                <w:sz w:val="20"/>
                <w:szCs w:val="20"/>
                <w:lang w:val="et-EE" w:eastAsia="et-EE"/>
              </w:rPr>
            </w:pPr>
            <w:r w:rsidRPr="00B07D23">
              <w:rPr>
                <w:rFonts w:ascii="Arial" w:hAnsi="Arial" w:cs="Arial"/>
                <w:b/>
                <w:bCs/>
                <w:sz w:val="20"/>
                <w:szCs w:val="20"/>
                <w:lang w:val="et-EE" w:eastAsia="et-EE"/>
              </w:rPr>
              <w:t xml:space="preserve">2020 eelarve  </w:t>
            </w:r>
          </w:p>
        </w:tc>
        <w:tc>
          <w:tcPr>
            <w:tcW w:w="1160" w:type="dxa"/>
            <w:tcBorders>
              <w:top w:val="single" w:sz="8" w:space="0" w:color="auto"/>
              <w:left w:val="nil"/>
              <w:bottom w:val="single" w:sz="8" w:space="0" w:color="auto"/>
              <w:right w:val="single" w:sz="4" w:space="0" w:color="auto"/>
            </w:tcBorders>
            <w:shd w:val="clear" w:color="000000" w:fill="CCFFCC"/>
            <w:vAlign w:val="bottom"/>
            <w:hideMark/>
          </w:tcPr>
          <w:p w:rsidR="00B07D23" w:rsidRPr="00B07D23" w:rsidRDefault="00B07D23" w:rsidP="00B07D23">
            <w:pPr>
              <w:widowControl/>
              <w:autoSpaceDE/>
              <w:autoSpaceDN/>
              <w:jc w:val="center"/>
              <w:rPr>
                <w:rFonts w:ascii="Arial" w:hAnsi="Arial" w:cs="Arial"/>
                <w:b/>
                <w:bCs/>
                <w:sz w:val="20"/>
                <w:szCs w:val="20"/>
                <w:lang w:val="et-EE" w:eastAsia="et-EE"/>
              </w:rPr>
            </w:pPr>
            <w:r w:rsidRPr="00B07D23">
              <w:rPr>
                <w:rFonts w:ascii="Arial" w:hAnsi="Arial" w:cs="Arial"/>
                <w:b/>
                <w:bCs/>
                <w:sz w:val="20"/>
                <w:szCs w:val="20"/>
                <w:lang w:val="et-EE" w:eastAsia="et-EE"/>
              </w:rPr>
              <w:t xml:space="preserve">2021 eelarve  </w:t>
            </w:r>
          </w:p>
        </w:tc>
        <w:tc>
          <w:tcPr>
            <w:tcW w:w="1160" w:type="dxa"/>
            <w:tcBorders>
              <w:top w:val="single" w:sz="8" w:space="0" w:color="auto"/>
              <w:left w:val="nil"/>
              <w:bottom w:val="single" w:sz="8" w:space="0" w:color="auto"/>
              <w:right w:val="single" w:sz="4" w:space="0" w:color="auto"/>
            </w:tcBorders>
            <w:shd w:val="clear" w:color="000000" w:fill="CCFFCC"/>
            <w:vAlign w:val="bottom"/>
            <w:hideMark/>
          </w:tcPr>
          <w:p w:rsidR="00B07D23" w:rsidRPr="00B07D23" w:rsidRDefault="00B07D23" w:rsidP="00B07D23">
            <w:pPr>
              <w:widowControl/>
              <w:autoSpaceDE/>
              <w:autoSpaceDN/>
              <w:jc w:val="center"/>
              <w:rPr>
                <w:rFonts w:ascii="Arial" w:hAnsi="Arial" w:cs="Arial"/>
                <w:b/>
                <w:bCs/>
                <w:sz w:val="20"/>
                <w:szCs w:val="20"/>
                <w:lang w:val="et-EE" w:eastAsia="et-EE"/>
              </w:rPr>
            </w:pPr>
            <w:r w:rsidRPr="00B07D23">
              <w:rPr>
                <w:rFonts w:ascii="Arial" w:hAnsi="Arial" w:cs="Arial"/>
                <w:b/>
                <w:bCs/>
                <w:sz w:val="20"/>
                <w:szCs w:val="20"/>
                <w:lang w:val="et-EE" w:eastAsia="et-EE"/>
              </w:rPr>
              <w:t xml:space="preserve">2022 eelarve  </w:t>
            </w:r>
          </w:p>
        </w:tc>
        <w:tc>
          <w:tcPr>
            <w:tcW w:w="1197" w:type="dxa"/>
            <w:tcBorders>
              <w:top w:val="single" w:sz="8" w:space="0" w:color="auto"/>
              <w:left w:val="nil"/>
              <w:bottom w:val="single" w:sz="8" w:space="0" w:color="auto"/>
              <w:right w:val="single" w:sz="8" w:space="0" w:color="auto"/>
            </w:tcBorders>
            <w:shd w:val="clear" w:color="000000" w:fill="CCFFCC"/>
            <w:vAlign w:val="bottom"/>
            <w:hideMark/>
          </w:tcPr>
          <w:p w:rsidR="00B07D23" w:rsidRPr="00B07D23" w:rsidRDefault="00B07D23" w:rsidP="00B07D23">
            <w:pPr>
              <w:widowControl/>
              <w:autoSpaceDE/>
              <w:autoSpaceDN/>
              <w:jc w:val="center"/>
              <w:rPr>
                <w:rFonts w:ascii="Arial" w:hAnsi="Arial" w:cs="Arial"/>
                <w:b/>
                <w:bCs/>
                <w:sz w:val="20"/>
                <w:szCs w:val="20"/>
                <w:lang w:val="et-EE" w:eastAsia="et-EE"/>
              </w:rPr>
            </w:pPr>
            <w:r w:rsidRPr="00B07D23">
              <w:rPr>
                <w:rFonts w:ascii="Arial" w:hAnsi="Arial" w:cs="Arial"/>
                <w:b/>
                <w:bCs/>
                <w:sz w:val="20"/>
                <w:szCs w:val="20"/>
                <w:lang w:val="et-EE" w:eastAsia="et-EE"/>
              </w:rPr>
              <w:t xml:space="preserve">2023 eelarve  </w:t>
            </w:r>
          </w:p>
        </w:tc>
      </w:tr>
      <w:tr w:rsidR="00F8739B" w:rsidRPr="00B07D23" w:rsidTr="00FA1C99">
        <w:trPr>
          <w:trHeight w:val="291"/>
        </w:trPr>
        <w:tc>
          <w:tcPr>
            <w:tcW w:w="4312" w:type="dxa"/>
            <w:tcBorders>
              <w:top w:val="nil"/>
              <w:left w:val="single" w:sz="8" w:space="0" w:color="auto"/>
              <w:bottom w:val="single" w:sz="4" w:space="0" w:color="auto"/>
              <w:right w:val="single" w:sz="4" w:space="0" w:color="auto"/>
            </w:tcBorders>
            <w:shd w:val="clear" w:color="auto" w:fill="auto"/>
            <w:noWrap/>
            <w:vAlign w:val="center"/>
            <w:hideMark/>
          </w:tcPr>
          <w:p w:rsidR="00F8739B" w:rsidRDefault="00F8739B" w:rsidP="00F8739B">
            <w:pPr>
              <w:rPr>
                <w:rFonts w:ascii="Arial" w:hAnsi="Arial" w:cs="Arial"/>
                <w:b/>
                <w:bCs/>
                <w:sz w:val="20"/>
                <w:szCs w:val="20"/>
                <w:lang w:val="et-EE" w:eastAsia="et-EE"/>
              </w:rPr>
            </w:pPr>
            <w:r>
              <w:rPr>
                <w:rFonts w:ascii="Arial" w:hAnsi="Arial" w:cs="Arial"/>
                <w:b/>
                <w:bCs/>
                <w:sz w:val="20"/>
                <w:szCs w:val="20"/>
              </w:rPr>
              <w:t>Põhitegevuse tulud kokku</w:t>
            </w:r>
          </w:p>
        </w:tc>
        <w:tc>
          <w:tcPr>
            <w:tcW w:w="1275" w:type="dxa"/>
            <w:tcBorders>
              <w:top w:val="single" w:sz="4" w:space="0" w:color="auto"/>
              <w:left w:val="nil"/>
              <w:bottom w:val="single" w:sz="4" w:space="0" w:color="auto"/>
              <w:right w:val="single" w:sz="4" w:space="0" w:color="auto"/>
            </w:tcBorders>
            <w:shd w:val="clear" w:color="000000" w:fill="C0C0C0"/>
            <w:vAlign w:val="bottom"/>
            <w:hideMark/>
          </w:tcPr>
          <w:p w:rsidR="00F8739B" w:rsidRDefault="00F8739B" w:rsidP="00F8739B">
            <w:pPr>
              <w:jc w:val="right"/>
              <w:rPr>
                <w:rFonts w:ascii="Arial" w:hAnsi="Arial" w:cs="Arial"/>
                <w:b/>
                <w:bCs/>
                <w:sz w:val="20"/>
                <w:szCs w:val="20"/>
                <w:lang w:val="et-EE" w:eastAsia="et-EE"/>
              </w:rPr>
            </w:pPr>
            <w:r>
              <w:rPr>
                <w:rFonts w:ascii="Arial" w:hAnsi="Arial" w:cs="Arial"/>
                <w:b/>
                <w:bCs/>
                <w:sz w:val="20"/>
                <w:szCs w:val="20"/>
              </w:rPr>
              <w:t>11 908 740</w:t>
            </w:r>
          </w:p>
        </w:tc>
        <w:tc>
          <w:tcPr>
            <w:tcW w:w="1160" w:type="dxa"/>
            <w:tcBorders>
              <w:top w:val="single" w:sz="4" w:space="0" w:color="auto"/>
              <w:left w:val="nil"/>
              <w:bottom w:val="single" w:sz="4" w:space="0" w:color="auto"/>
              <w:right w:val="single" w:sz="4" w:space="0" w:color="auto"/>
            </w:tcBorders>
            <w:shd w:val="clear" w:color="000000" w:fill="C0C0C0"/>
            <w:vAlign w:val="bottom"/>
            <w:hideMark/>
          </w:tcPr>
          <w:p w:rsidR="00F8739B" w:rsidRDefault="00F8739B" w:rsidP="00F8739B">
            <w:pPr>
              <w:jc w:val="right"/>
              <w:rPr>
                <w:rFonts w:ascii="Arial" w:hAnsi="Arial" w:cs="Arial"/>
                <w:b/>
                <w:bCs/>
                <w:sz w:val="20"/>
                <w:szCs w:val="20"/>
              </w:rPr>
            </w:pPr>
            <w:r>
              <w:rPr>
                <w:rFonts w:ascii="Arial" w:hAnsi="Arial" w:cs="Arial"/>
                <w:b/>
                <w:bCs/>
                <w:sz w:val="20"/>
                <w:szCs w:val="20"/>
              </w:rPr>
              <w:t>12 620 991</w:t>
            </w:r>
          </w:p>
        </w:tc>
        <w:tc>
          <w:tcPr>
            <w:tcW w:w="1160" w:type="dxa"/>
            <w:tcBorders>
              <w:top w:val="single" w:sz="4" w:space="0" w:color="auto"/>
              <w:left w:val="nil"/>
              <w:bottom w:val="single" w:sz="4" w:space="0" w:color="auto"/>
              <w:right w:val="single" w:sz="4" w:space="0" w:color="auto"/>
            </w:tcBorders>
            <w:shd w:val="clear" w:color="000000" w:fill="C0C0C0"/>
            <w:vAlign w:val="bottom"/>
            <w:hideMark/>
          </w:tcPr>
          <w:p w:rsidR="00F8739B" w:rsidRDefault="00F8739B" w:rsidP="00F8739B">
            <w:pPr>
              <w:jc w:val="right"/>
              <w:rPr>
                <w:rFonts w:ascii="Arial" w:hAnsi="Arial" w:cs="Arial"/>
                <w:b/>
                <w:bCs/>
                <w:sz w:val="20"/>
                <w:szCs w:val="20"/>
              </w:rPr>
            </w:pPr>
            <w:r>
              <w:rPr>
                <w:rFonts w:ascii="Arial" w:hAnsi="Arial" w:cs="Arial"/>
                <w:b/>
                <w:bCs/>
                <w:sz w:val="20"/>
                <w:szCs w:val="20"/>
              </w:rPr>
              <w:t>13 037 552</w:t>
            </w:r>
          </w:p>
        </w:tc>
        <w:tc>
          <w:tcPr>
            <w:tcW w:w="1160" w:type="dxa"/>
            <w:tcBorders>
              <w:top w:val="single" w:sz="4" w:space="0" w:color="auto"/>
              <w:left w:val="nil"/>
              <w:bottom w:val="single" w:sz="4" w:space="0" w:color="auto"/>
              <w:right w:val="single" w:sz="4" w:space="0" w:color="auto"/>
            </w:tcBorders>
            <w:shd w:val="clear" w:color="000000" w:fill="C0C0C0"/>
            <w:vAlign w:val="bottom"/>
            <w:hideMark/>
          </w:tcPr>
          <w:p w:rsidR="00F8739B" w:rsidRDefault="00F8739B" w:rsidP="00F8739B">
            <w:pPr>
              <w:jc w:val="right"/>
              <w:rPr>
                <w:rFonts w:ascii="Arial" w:hAnsi="Arial" w:cs="Arial"/>
                <w:b/>
                <w:bCs/>
                <w:sz w:val="20"/>
                <w:szCs w:val="20"/>
              </w:rPr>
            </w:pPr>
            <w:r>
              <w:rPr>
                <w:rFonts w:ascii="Arial" w:hAnsi="Arial" w:cs="Arial"/>
                <w:b/>
                <w:bCs/>
                <w:sz w:val="20"/>
                <w:szCs w:val="20"/>
              </w:rPr>
              <w:t>13 468 426</w:t>
            </w:r>
          </w:p>
        </w:tc>
        <w:tc>
          <w:tcPr>
            <w:tcW w:w="1197" w:type="dxa"/>
            <w:tcBorders>
              <w:top w:val="single" w:sz="4" w:space="0" w:color="auto"/>
              <w:left w:val="nil"/>
              <w:bottom w:val="single" w:sz="4" w:space="0" w:color="auto"/>
              <w:right w:val="single" w:sz="8" w:space="0" w:color="auto"/>
            </w:tcBorders>
            <w:shd w:val="clear" w:color="000000" w:fill="C0C0C0"/>
            <w:vAlign w:val="bottom"/>
            <w:hideMark/>
          </w:tcPr>
          <w:p w:rsidR="00F8739B" w:rsidRDefault="00F8739B" w:rsidP="00F8739B">
            <w:pPr>
              <w:jc w:val="right"/>
              <w:rPr>
                <w:rFonts w:ascii="Arial" w:hAnsi="Arial" w:cs="Arial"/>
                <w:b/>
                <w:bCs/>
                <w:sz w:val="20"/>
                <w:szCs w:val="20"/>
              </w:rPr>
            </w:pPr>
            <w:r>
              <w:rPr>
                <w:rFonts w:ascii="Arial" w:hAnsi="Arial" w:cs="Arial"/>
                <w:b/>
                <w:bCs/>
                <w:sz w:val="20"/>
                <w:szCs w:val="20"/>
              </w:rPr>
              <w:t>13 906 798</w:t>
            </w:r>
          </w:p>
        </w:tc>
      </w:tr>
      <w:tr w:rsidR="00F8739B" w:rsidRPr="00B07D23" w:rsidTr="00FA1C99">
        <w:trPr>
          <w:trHeight w:val="248"/>
        </w:trPr>
        <w:tc>
          <w:tcPr>
            <w:tcW w:w="4312" w:type="dxa"/>
            <w:tcBorders>
              <w:top w:val="nil"/>
              <w:left w:val="single" w:sz="8" w:space="0" w:color="auto"/>
              <w:bottom w:val="single" w:sz="4" w:space="0" w:color="auto"/>
              <w:right w:val="single" w:sz="4" w:space="0" w:color="auto"/>
            </w:tcBorders>
            <w:shd w:val="clear" w:color="auto" w:fill="auto"/>
            <w:noWrap/>
            <w:vAlign w:val="center"/>
            <w:hideMark/>
          </w:tcPr>
          <w:p w:rsidR="00F8739B" w:rsidRDefault="00F8739B" w:rsidP="00F8739B">
            <w:pPr>
              <w:rPr>
                <w:rFonts w:ascii="Arial" w:hAnsi="Arial" w:cs="Arial"/>
                <w:b/>
                <w:bCs/>
                <w:sz w:val="20"/>
                <w:szCs w:val="20"/>
              </w:rPr>
            </w:pPr>
            <w:r>
              <w:rPr>
                <w:rFonts w:ascii="Arial" w:hAnsi="Arial" w:cs="Arial"/>
                <w:b/>
                <w:bCs/>
                <w:sz w:val="20"/>
                <w:szCs w:val="20"/>
              </w:rPr>
              <w:t>Põhitegevuse kulud kokku</w:t>
            </w:r>
          </w:p>
        </w:tc>
        <w:tc>
          <w:tcPr>
            <w:tcW w:w="1275" w:type="dxa"/>
            <w:tcBorders>
              <w:top w:val="nil"/>
              <w:left w:val="nil"/>
              <w:bottom w:val="single" w:sz="4" w:space="0" w:color="auto"/>
              <w:right w:val="single" w:sz="4" w:space="0" w:color="auto"/>
            </w:tcBorders>
            <w:shd w:val="clear" w:color="000000" w:fill="C0C0C0"/>
            <w:vAlign w:val="bottom"/>
            <w:hideMark/>
          </w:tcPr>
          <w:p w:rsidR="00F8739B" w:rsidRDefault="00F8739B" w:rsidP="00F8739B">
            <w:pPr>
              <w:jc w:val="right"/>
              <w:rPr>
                <w:rFonts w:ascii="Arial" w:hAnsi="Arial" w:cs="Arial"/>
                <w:b/>
                <w:bCs/>
                <w:sz w:val="20"/>
                <w:szCs w:val="20"/>
              </w:rPr>
            </w:pPr>
            <w:r>
              <w:rPr>
                <w:rFonts w:ascii="Arial" w:hAnsi="Arial" w:cs="Arial"/>
                <w:b/>
                <w:bCs/>
                <w:sz w:val="20"/>
                <w:szCs w:val="20"/>
              </w:rPr>
              <w:t>11 458 687</w:t>
            </w:r>
          </w:p>
        </w:tc>
        <w:tc>
          <w:tcPr>
            <w:tcW w:w="1160" w:type="dxa"/>
            <w:tcBorders>
              <w:top w:val="nil"/>
              <w:left w:val="nil"/>
              <w:bottom w:val="single" w:sz="4" w:space="0" w:color="auto"/>
              <w:right w:val="single" w:sz="4" w:space="0" w:color="auto"/>
            </w:tcBorders>
            <w:shd w:val="clear" w:color="000000" w:fill="C0C0C0"/>
            <w:vAlign w:val="bottom"/>
            <w:hideMark/>
          </w:tcPr>
          <w:p w:rsidR="00F8739B" w:rsidRDefault="00F8739B" w:rsidP="00F8739B">
            <w:pPr>
              <w:jc w:val="right"/>
              <w:rPr>
                <w:rFonts w:ascii="Arial" w:hAnsi="Arial" w:cs="Arial"/>
                <w:b/>
                <w:bCs/>
                <w:sz w:val="20"/>
                <w:szCs w:val="20"/>
              </w:rPr>
            </w:pPr>
            <w:r>
              <w:rPr>
                <w:rFonts w:ascii="Arial" w:hAnsi="Arial" w:cs="Arial"/>
                <w:b/>
                <w:bCs/>
                <w:sz w:val="20"/>
                <w:szCs w:val="20"/>
              </w:rPr>
              <w:t>12 033 494</w:t>
            </w:r>
          </w:p>
        </w:tc>
        <w:tc>
          <w:tcPr>
            <w:tcW w:w="1160" w:type="dxa"/>
            <w:tcBorders>
              <w:top w:val="nil"/>
              <w:left w:val="nil"/>
              <w:bottom w:val="single" w:sz="4" w:space="0" w:color="auto"/>
              <w:right w:val="single" w:sz="4" w:space="0" w:color="auto"/>
            </w:tcBorders>
            <w:shd w:val="clear" w:color="000000" w:fill="C0C0C0"/>
            <w:vAlign w:val="bottom"/>
            <w:hideMark/>
          </w:tcPr>
          <w:p w:rsidR="00F8739B" w:rsidRDefault="00F8739B" w:rsidP="00F8739B">
            <w:pPr>
              <w:jc w:val="right"/>
              <w:rPr>
                <w:rFonts w:ascii="Arial" w:hAnsi="Arial" w:cs="Arial"/>
                <w:b/>
                <w:bCs/>
                <w:sz w:val="20"/>
                <w:szCs w:val="20"/>
              </w:rPr>
            </w:pPr>
            <w:r>
              <w:rPr>
                <w:rFonts w:ascii="Arial" w:hAnsi="Arial" w:cs="Arial"/>
                <w:b/>
                <w:bCs/>
                <w:sz w:val="20"/>
                <w:szCs w:val="20"/>
              </w:rPr>
              <w:t>12 300 565</w:t>
            </w:r>
          </w:p>
        </w:tc>
        <w:tc>
          <w:tcPr>
            <w:tcW w:w="1160" w:type="dxa"/>
            <w:tcBorders>
              <w:top w:val="nil"/>
              <w:left w:val="nil"/>
              <w:bottom w:val="single" w:sz="4" w:space="0" w:color="auto"/>
              <w:right w:val="single" w:sz="4" w:space="0" w:color="auto"/>
            </w:tcBorders>
            <w:shd w:val="clear" w:color="000000" w:fill="C0C0C0"/>
            <w:vAlign w:val="bottom"/>
            <w:hideMark/>
          </w:tcPr>
          <w:p w:rsidR="00F8739B" w:rsidRDefault="00F8739B" w:rsidP="00F8739B">
            <w:pPr>
              <w:jc w:val="right"/>
              <w:rPr>
                <w:rFonts w:ascii="Arial" w:hAnsi="Arial" w:cs="Arial"/>
                <w:b/>
                <w:bCs/>
                <w:sz w:val="20"/>
                <w:szCs w:val="20"/>
              </w:rPr>
            </w:pPr>
            <w:r>
              <w:rPr>
                <w:rFonts w:ascii="Arial" w:hAnsi="Arial" w:cs="Arial"/>
                <w:b/>
                <w:bCs/>
                <w:sz w:val="20"/>
                <w:szCs w:val="20"/>
              </w:rPr>
              <w:t>12 571 239</w:t>
            </w:r>
          </w:p>
        </w:tc>
        <w:tc>
          <w:tcPr>
            <w:tcW w:w="1197" w:type="dxa"/>
            <w:tcBorders>
              <w:top w:val="nil"/>
              <w:left w:val="nil"/>
              <w:bottom w:val="single" w:sz="4" w:space="0" w:color="auto"/>
              <w:right w:val="single" w:sz="8" w:space="0" w:color="auto"/>
            </w:tcBorders>
            <w:shd w:val="clear" w:color="000000" w:fill="C0C0C0"/>
            <w:vAlign w:val="bottom"/>
            <w:hideMark/>
          </w:tcPr>
          <w:p w:rsidR="00F8739B" w:rsidRDefault="00F8739B" w:rsidP="00F8739B">
            <w:pPr>
              <w:jc w:val="right"/>
              <w:rPr>
                <w:rFonts w:ascii="Arial" w:hAnsi="Arial" w:cs="Arial"/>
                <w:b/>
                <w:bCs/>
                <w:sz w:val="20"/>
                <w:szCs w:val="20"/>
              </w:rPr>
            </w:pPr>
            <w:r>
              <w:rPr>
                <w:rFonts w:ascii="Arial" w:hAnsi="Arial" w:cs="Arial"/>
                <w:b/>
                <w:bCs/>
                <w:sz w:val="20"/>
                <w:szCs w:val="20"/>
              </w:rPr>
              <w:t>12 843 564</w:t>
            </w:r>
          </w:p>
        </w:tc>
      </w:tr>
      <w:tr w:rsidR="00F8739B" w:rsidRPr="00B07D23" w:rsidTr="00FA1C99">
        <w:trPr>
          <w:trHeight w:val="248"/>
        </w:trPr>
        <w:tc>
          <w:tcPr>
            <w:tcW w:w="4312" w:type="dxa"/>
            <w:tcBorders>
              <w:top w:val="nil"/>
              <w:left w:val="single" w:sz="8" w:space="0" w:color="auto"/>
              <w:bottom w:val="single" w:sz="4" w:space="0" w:color="auto"/>
              <w:right w:val="single" w:sz="4" w:space="0" w:color="auto"/>
            </w:tcBorders>
            <w:shd w:val="clear" w:color="auto" w:fill="auto"/>
            <w:noWrap/>
            <w:vAlign w:val="center"/>
            <w:hideMark/>
          </w:tcPr>
          <w:p w:rsidR="00F8739B" w:rsidRDefault="00F8739B" w:rsidP="00F8739B">
            <w:pPr>
              <w:rPr>
                <w:rFonts w:ascii="Arial" w:hAnsi="Arial" w:cs="Arial"/>
                <w:b/>
                <w:bCs/>
                <w:sz w:val="20"/>
                <w:szCs w:val="20"/>
              </w:rPr>
            </w:pPr>
            <w:r>
              <w:rPr>
                <w:rFonts w:ascii="Arial" w:hAnsi="Arial" w:cs="Arial"/>
                <w:b/>
                <w:bCs/>
                <w:sz w:val="20"/>
                <w:szCs w:val="20"/>
              </w:rPr>
              <w:t>Põhitegevustulem</w:t>
            </w:r>
          </w:p>
        </w:tc>
        <w:tc>
          <w:tcPr>
            <w:tcW w:w="1275" w:type="dxa"/>
            <w:tcBorders>
              <w:top w:val="nil"/>
              <w:left w:val="nil"/>
              <w:bottom w:val="single" w:sz="4" w:space="0" w:color="auto"/>
              <w:right w:val="single" w:sz="4" w:space="0" w:color="auto"/>
            </w:tcBorders>
            <w:shd w:val="clear" w:color="000000" w:fill="C0C0C0"/>
            <w:vAlign w:val="bottom"/>
            <w:hideMark/>
          </w:tcPr>
          <w:p w:rsidR="00F8739B" w:rsidRDefault="00F8739B" w:rsidP="00F8739B">
            <w:pPr>
              <w:jc w:val="right"/>
              <w:rPr>
                <w:rFonts w:ascii="Arial" w:hAnsi="Arial" w:cs="Arial"/>
                <w:b/>
                <w:bCs/>
                <w:sz w:val="20"/>
                <w:szCs w:val="20"/>
              </w:rPr>
            </w:pPr>
            <w:r>
              <w:rPr>
                <w:rFonts w:ascii="Arial" w:hAnsi="Arial" w:cs="Arial"/>
                <w:b/>
                <w:bCs/>
                <w:sz w:val="20"/>
                <w:szCs w:val="20"/>
              </w:rPr>
              <w:t>450 053</w:t>
            </w:r>
          </w:p>
        </w:tc>
        <w:tc>
          <w:tcPr>
            <w:tcW w:w="1160" w:type="dxa"/>
            <w:tcBorders>
              <w:top w:val="nil"/>
              <w:left w:val="nil"/>
              <w:bottom w:val="single" w:sz="4" w:space="0" w:color="auto"/>
              <w:right w:val="single" w:sz="4" w:space="0" w:color="auto"/>
            </w:tcBorders>
            <w:shd w:val="clear" w:color="000000" w:fill="C0C0C0"/>
            <w:vAlign w:val="bottom"/>
            <w:hideMark/>
          </w:tcPr>
          <w:p w:rsidR="00F8739B" w:rsidRDefault="00F8739B" w:rsidP="00F8739B">
            <w:pPr>
              <w:jc w:val="right"/>
              <w:rPr>
                <w:rFonts w:ascii="Arial" w:hAnsi="Arial" w:cs="Arial"/>
                <w:b/>
                <w:bCs/>
                <w:sz w:val="20"/>
                <w:szCs w:val="20"/>
              </w:rPr>
            </w:pPr>
            <w:r>
              <w:rPr>
                <w:rFonts w:ascii="Arial" w:hAnsi="Arial" w:cs="Arial"/>
                <w:b/>
                <w:bCs/>
                <w:sz w:val="20"/>
                <w:szCs w:val="20"/>
              </w:rPr>
              <w:t>587 497</w:t>
            </w:r>
          </w:p>
        </w:tc>
        <w:tc>
          <w:tcPr>
            <w:tcW w:w="1160" w:type="dxa"/>
            <w:tcBorders>
              <w:top w:val="nil"/>
              <w:left w:val="nil"/>
              <w:bottom w:val="single" w:sz="4" w:space="0" w:color="auto"/>
              <w:right w:val="single" w:sz="4" w:space="0" w:color="auto"/>
            </w:tcBorders>
            <w:shd w:val="clear" w:color="000000" w:fill="C0C0C0"/>
            <w:vAlign w:val="bottom"/>
            <w:hideMark/>
          </w:tcPr>
          <w:p w:rsidR="00F8739B" w:rsidRDefault="00F8739B" w:rsidP="00F8739B">
            <w:pPr>
              <w:jc w:val="right"/>
              <w:rPr>
                <w:rFonts w:ascii="Arial" w:hAnsi="Arial" w:cs="Arial"/>
                <w:b/>
                <w:bCs/>
                <w:sz w:val="20"/>
                <w:szCs w:val="20"/>
              </w:rPr>
            </w:pPr>
            <w:r>
              <w:rPr>
                <w:rFonts w:ascii="Arial" w:hAnsi="Arial" w:cs="Arial"/>
                <w:b/>
                <w:bCs/>
                <w:sz w:val="20"/>
                <w:szCs w:val="20"/>
              </w:rPr>
              <w:t>736 986</w:t>
            </w:r>
          </w:p>
        </w:tc>
        <w:tc>
          <w:tcPr>
            <w:tcW w:w="1160" w:type="dxa"/>
            <w:tcBorders>
              <w:top w:val="nil"/>
              <w:left w:val="nil"/>
              <w:bottom w:val="single" w:sz="4" w:space="0" w:color="auto"/>
              <w:right w:val="single" w:sz="4" w:space="0" w:color="auto"/>
            </w:tcBorders>
            <w:shd w:val="clear" w:color="000000" w:fill="C0C0C0"/>
            <w:vAlign w:val="bottom"/>
            <w:hideMark/>
          </w:tcPr>
          <w:p w:rsidR="00F8739B" w:rsidRDefault="00F8739B" w:rsidP="00F8739B">
            <w:pPr>
              <w:jc w:val="right"/>
              <w:rPr>
                <w:rFonts w:ascii="Arial" w:hAnsi="Arial" w:cs="Arial"/>
                <w:b/>
                <w:bCs/>
                <w:sz w:val="20"/>
                <w:szCs w:val="20"/>
              </w:rPr>
            </w:pPr>
            <w:r>
              <w:rPr>
                <w:rFonts w:ascii="Arial" w:hAnsi="Arial" w:cs="Arial"/>
                <w:b/>
                <w:bCs/>
                <w:sz w:val="20"/>
                <w:szCs w:val="20"/>
              </w:rPr>
              <w:t>897 187</w:t>
            </w:r>
          </w:p>
        </w:tc>
        <w:tc>
          <w:tcPr>
            <w:tcW w:w="1197" w:type="dxa"/>
            <w:tcBorders>
              <w:top w:val="nil"/>
              <w:left w:val="nil"/>
              <w:bottom w:val="single" w:sz="4" w:space="0" w:color="auto"/>
              <w:right w:val="single" w:sz="8" w:space="0" w:color="auto"/>
            </w:tcBorders>
            <w:shd w:val="clear" w:color="000000" w:fill="C0C0C0"/>
            <w:vAlign w:val="bottom"/>
            <w:hideMark/>
          </w:tcPr>
          <w:p w:rsidR="00F8739B" w:rsidRDefault="00F8739B" w:rsidP="00F8739B">
            <w:pPr>
              <w:jc w:val="right"/>
              <w:rPr>
                <w:rFonts w:ascii="Arial" w:hAnsi="Arial" w:cs="Arial"/>
                <w:b/>
                <w:bCs/>
                <w:sz w:val="20"/>
                <w:szCs w:val="20"/>
              </w:rPr>
            </w:pPr>
            <w:r>
              <w:rPr>
                <w:rFonts w:ascii="Arial" w:hAnsi="Arial" w:cs="Arial"/>
                <w:b/>
                <w:bCs/>
                <w:sz w:val="20"/>
                <w:szCs w:val="20"/>
              </w:rPr>
              <w:t>1 063 235</w:t>
            </w:r>
          </w:p>
        </w:tc>
      </w:tr>
      <w:tr w:rsidR="00F8739B" w:rsidRPr="00B07D23" w:rsidTr="00FA1C99">
        <w:trPr>
          <w:trHeight w:val="248"/>
        </w:trPr>
        <w:tc>
          <w:tcPr>
            <w:tcW w:w="4312" w:type="dxa"/>
            <w:tcBorders>
              <w:top w:val="nil"/>
              <w:left w:val="single" w:sz="8" w:space="0" w:color="auto"/>
              <w:bottom w:val="single" w:sz="4" w:space="0" w:color="auto"/>
              <w:right w:val="single" w:sz="4" w:space="0" w:color="auto"/>
            </w:tcBorders>
            <w:shd w:val="clear" w:color="auto" w:fill="auto"/>
            <w:vAlign w:val="bottom"/>
            <w:hideMark/>
          </w:tcPr>
          <w:p w:rsidR="00F8739B" w:rsidRDefault="00F8739B" w:rsidP="00F8739B">
            <w:pPr>
              <w:rPr>
                <w:rFonts w:ascii="Arial" w:hAnsi="Arial" w:cs="Arial"/>
                <w:b/>
                <w:bCs/>
                <w:sz w:val="20"/>
                <w:szCs w:val="20"/>
              </w:rPr>
            </w:pPr>
            <w:r>
              <w:rPr>
                <w:rFonts w:ascii="Arial" w:hAnsi="Arial" w:cs="Arial"/>
                <w:b/>
                <w:bCs/>
                <w:sz w:val="20"/>
                <w:szCs w:val="20"/>
              </w:rPr>
              <w:t>Investeerimistegevus kokku</w:t>
            </w:r>
          </w:p>
        </w:tc>
        <w:tc>
          <w:tcPr>
            <w:tcW w:w="1275" w:type="dxa"/>
            <w:tcBorders>
              <w:top w:val="nil"/>
              <w:left w:val="nil"/>
              <w:bottom w:val="single" w:sz="4" w:space="0" w:color="auto"/>
              <w:right w:val="single" w:sz="4" w:space="0" w:color="auto"/>
            </w:tcBorders>
            <w:shd w:val="clear" w:color="000000" w:fill="C0C0C0"/>
            <w:vAlign w:val="bottom"/>
            <w:hideMark/>
          </w:tcPr>
          <w:p w:rsidR="00F8739B" w:rsidRDefault="00F8739B" w:rsidP="00F8739B">
            <w:pPr>
              <w:jc w:val="right"/>
              <w:rPr>
                <w:rFonts w:ascii="Arial" w:hAnsi="Arial" w:cs="Arial"/>
                <w:b/>
                <w:bCs/>
                <w:sz w:val="20"/>
                <w:szCs w:val="20"/>
              </w:rPr>
            </w:pPr>
            <w:r>
              <w:rPr>
                <w:rFonts w:ascii="Arial" w:hAnsi="Arial" w:cs="Arial"/>
                <w:b/>
                <w:bCs/>
                <w:sz w:val="20"/>
                <w:szCs w:val="20"/>
              </w:rPr>
              <w:t>-1 309 339</w:t>
            </w:r>
          </w:p>
        </w:tc>
        <w:tc>
          <w:tcPr>
            <w:tcW w:w="1160" w:type="dxa"/>
            <w:tcBorders>
              <w:top w:val="nil"/>
              <w:left w:val="nil"/>
              <w:bottom w:val="single" w:sz="4" w:space="0" w:color="auto"/>
              <w:right w:val="single" w:sz="4" w:space="0" w:color="auto"/>
            </w:tcBorders>
            <w:shd w:val="clear" w:color="000000" w:fill="C0C0C0"/>
            <w:vAlign w:val="bottom"/>
            <w:hideMark/>
          </w:tcPr>
          <w:p w:rsidR="00F8739B" w:rsidRDefault="00F8739B" w:rsidP="00F8739B">
            <w:pPr>
              <w:jc w:val="right"/>
              <w:rPr>
                <w:rFonts w:ascii="Arial" w:hAnsi="Arial" w:cs="Arial"/>
                <w:b/>
                <w:bCs/>
                <w:sz w:val="20"/>
                <w:szCs w:val="20"/>
              </w:rPr>
            </w:pPr>
            <w:r>
              <w:rPr>
                <w:rFonts w:ascii="Arial" w:hAnsi="Arial" w:cs="Arial"/>
                <w:b/>
                <w:bCs/>
                <w:sz w:val="20"/>
                <w:szCs w:val="20"/>
              </w:rPr>
              <w:t>-2 180 770</w:t>
            </w:r>
          </w:p>
        </w:tc>
        <w:tc>
          <w:tcPr>
            <w:tcW w:w="1160" w:type="dxa"/>
            <w:tcBorders>
              <w:top w:val="nil"/>
              <w:left w:val="nil"/>
              <w:bottom w:val="single" w:sz="4" w:space="0" w:color="auto"/>
              <w:right w:val="single" w:sz="4" w:space="0" w:color="auto"/>
            </w:tcBorders>
            <w:shd w:val="clear" w:color="000000" w:fill="C0C0C0"/>
            <w:vAlign w:val="bottom"/>
            <w:hideMark/>
          </w:tcPr>
          <w:p w:rsidR="00F8739B" w:rsidRDefault="00F8739B" w:rsidP="00F8739B">
            <w:pPr>
              <w:jc w:val="right"/>
              <w:rPr>
                <w:rFonts w:ascii="Arial" w:hAnsi="Arial" w:cs="Arial"/>
                <w:b/>
                <w:bCs/>
                <w:sz w:val="20"/>
                <w:szCs w:val="20"/>
              </w:rPr>
            </w:pPr>
            <w:r>
              <w:rPr>
                <w:rFonts w:ascii="Arial" w:hAnsi="Arial" w:cs="Arial"/>
                <w:b/>
                <w:bCs/>
                <w:sz w:val="20"/>
                <w:szCs w:val="20"/>
              </w:rPr>
              <w:t>-1 408 135</w:t>
            </w:r>
          </w:p>
        </w:tc>
        <w:tc>
          <w:tcPr>
            <w:tcW w:w="1160" w:type="dxa"/>
            <w:tcBorders>
              <w:top w:val="nil"/>
              <w:left w:val="nil"/>
              <w:bottom w:val="single" w:sz="4" w:space="0" w:color="auto"/>
              <w:right w:val="single" w:sz="4" w:space="0" w:color="auto"/>
            </w:tcBorders>
            <w:shd w:val="clear" w:color="000000" w:fill="C0C0C0"/>
            <w:vAlign w:val="bottom"/>
            <w:hideMark/>
          </w:tcPr>
          <w:p w:rsidR="00F8739B" w:rsidRDefault="00F8739B" w:rsidP="00F8739B">
            <w:pPr>
              <w:jc w:val="right"/>
              <w:rPr>
                <w:rFonts w:ascii="Arial" w:hAnsi="Arial" w:cs="Arial"/>
                <w:b/>
                <w:bCs/>
                <w:sz w:val="20"/>
                <w:szCs w:val="20"/>
              </w:rPr>
            </w:pPr>
            <w:r>
              <w:rPr>
                <w:rFonts w:ascii="Arial" w:hAnsi="Arial" w:cs="Arial"/>
                <w:b/>
                <w:bCs/>
                <w:sz w:val="20"/>
                <w:szCs w:val="20"/>
              </w:rPr>
              <w:t>-462 657</w:t>
            </w:r>
          </w:p>
        </w:tc>
        <w:tc>
          <w:tcPr>
            <w:tcW w:w="1197" w:type="dxa"/>
            <w:tcBorders>
              <w:top w:val="nil"/>
              <w:left w:val="nil"/>
              <w:bottom w:val="single" w:sz="4" w:space="0" w:color="auto"/>
              <w:right w:val="single" w:sz="8" w:space="0" w:color="auto"/>
            </w:tcBorders>
            <w:shd w:val="clear" w:color="000000" w:fill="C0C0C0"/>
            <w:vAlign w:val="bottom"/>
            <w:hideMark/>
          </w:tcPr>
          <w:p w:rsidR="00F8739B" w:rsidRDefault="00F8739B" w:rsidP="00F8739B">
            <w:pPr>
              <w:jc w:val="right"/>
              <w:rPr>
                <w:rFonts w:ascii="Arial" w:hAnsi="Arial" w:cs="Arial"/>
                <w:b/>
                <w:bCs/>
                <w:sz w:val="20"/>
                <w:szCs w:val="20"/>
              </w:rPr>
            </w:pPr>
            <w:r>
              <w:rPr>
                <w:rFonts w:ascii="Arial" w:hAnsi="Arial" w:cs="Arial"/>
                <w:b/>
                <w:bCs/>
                <w:sz w:val="20"/>
                <w:szCs w:val="20"/>
              </w:rPr>
              <w:t>-580 649</w:t>
            </w:r>
          </w:p>
        </w:tc>
      </w:tr>
      <w:tr w:rsidR="00F8739B" w:rsidRPr="00B07D23" w:rsidTr="00FA1C99">
        <w:trPr>
          <w:trHeight w:val="248"/>
        </w:trPr>
        <w:tc>
          <w:tcPr>
            <w:tcW w:w="4312" w:type="dxa"/>
            <w:tcBorders>
              <w:top w:val="nil"/>
              <w:left w:val="single" w:sz="8" w:space="0" w:color="auto"/>
              <w:bottom w:val="single" w:sz="4" w:space="0" w:color="auto"/>
              <w:right w:val="single" w:sz="4" w:space="0" w:color="auto"/>
            </w:tcBorders>
            <w:shd w:val="clear" w:color="auto" w:fill="auto"/>
            <w:vAlign w:val="bottom"/>
            <w:hideMark/>
          </w:tcPr>
          <w:p w:rsidR="00F8739B" w:rsidRDefault="00F8739B" w:rsidP="00F8739B">
            <w:pPr>
              <w:rPr>
                <w:rFonts w:ascii="Arial" w:hAnsi="Arial" w:cs="Arial"/>
                <w:b/>
                <w:bCs/>
                <w:sz w:val="20"/>
                <w:szCs w:val="20"/>
              </w:rPr>
            </w:pPr>
            <w:r>
              <w:rPr>
                <w:rFonts w:ascii="Arial" w:hAnsi="Arial" w:cs="Arial"/>
                <w:b/>
                <w:bCs/>
                <w:sz w:val="20"/>
                <w:szCs w:val="20"/>
              </w:rPr>
              <w:t>Eelarve tulem</w:t>
            </w:r>
          </w:p>
        </w:tc>
        <w:tc>
          <w:tcPr>
            <w:tcW w:w="1275" w:type="dxa"/>
            <w:tcBorders>
              <w:top w:val="nil"/>
              <w:left w:val="nil"/>
              <w:bottom w:val="single" w:sz="4" w:space="0" w:color="auto"/>
              <w:right w:val="single" w:sz="4" w:space="0" w:color="auto"/>
            </w:tcBorders>
            <w:shd w:val="clear" w:color="000000" w:fill="C0C0C0"/>
            <w:vAlign w:val="bottom"/>
            <w:hideMark/>
          </w:tcPr>
          <w:p w:rsidR="00F8739B" w:rsidRDefault="00F8739B" w:rsidP="00F8739B">
            <w:pPr>
              <w:jc w:val="right"/>
              <w:rPr>
                <w:rFonts w:ascii="Arial" w:hAnsi="Arial" w:cs="Arial"/>
                <w:b/>
                <w:bCs/>
                <w:sz w:val="20"/>
                <w:szCs w:val="20"/>
              </w:rPr>
            </w:pPr>
            <w:r>
              <w:rPr>
                <w:rFonts w:ascii="Arial" w:hAnsi="Arial" w:cs="Arial"/>
                <w:b/>
                <w:bCs/>
                <w:sz w:val="20"/>
                <w:szCs w:val="20"/>
              </w:rPr>
              <w:t>-859 286</w:t>
            </w:r>
          </w:p>
        </w:tc>
        <w:tc>
          <w:tcPr>
            <w:tcW w:w="1160" w:type="dxa"/>
            <w:tcBorders>
              <w:top w:val="nil"/>
              <w:left w:val="nil"/>
              <w:bottom w:val="single" w:sz="4" w:space="0" w:color="auto"/>
              <w:right w:val="single" w:sz="4" w:space="0" w:color="auto"/>
            </w:tcBorders>
            <w:shd w:val="clear" w:color="000000" w:fill="C0C0C0"/>
            <w:vAlign w:val="bottom"/>
            <w:hideMark/>
          </w:tcPr>
          <w:p w:rsidR="00F8739B" w:rsidRDefault="00F8739B" w:rsidP="00F8739B">
            <w:pPr>
              <w:jc w:val="right"/>
              <w:rPr>
                <w:rFonts w:ascii="Arial" w:hAnsi="Arial" w:cs="Arial"/>
                <w:b/>
                <w:bCs/>
                <w:sz w:val="20"/>
                <w:szCs w:val="20"/>
              </w:rPr>
            </w:pPr>
            <w:r>
              <w:rPr>
                <w:rFonts w:ascii="Arial" w:hAnsi="Arial" w:cs="Arial"/>
                <w:b/>
                <w:bCs/>
                <w:sz w:val="20"/>
                <w:szCs w:val="20"/>
              </w:rPr>
              <w:t>-1 593 274</w:t>
            </w:r>
          </w:p>
        </w:tc>
        <w:tc>
          <w:tcPr>
            <w:tcW w:w="1160" w:type="dxa"/>
            <w:tcBorders>
              <w:top w:val="nil"/>
              <w:left w:val="nil"/>
              <w:bottom w:val="single" w:sz="4" w:space="0" w:color="auto"/>
              <w:right w:val="single" w:sz="4" w:space="0" w:color="auto"/>
            </w:tcBorders>
            <w:shd w:val="clear" w:color="000000" w:fill="C0C0C0"/>
            <w:vAlign w:val="bottom"/>
            <w:hideMark/>
          </w:tcPr>
          <w:p w:rsidR="00F8739B" w:rsidRDefault="00F8739B" w:rsidP="00F8739B">
            <w:pPr>
              <w:jc w:val="right"/>
              <w:rPr>
                <w:rFonts w:ascii="Arial" w:hAnsi="Arial" w:cs="Arial"/>
                <w:b/>
                <w:bCs/>
                <w:sz w:val="20"/>
                <w:szCs w:val="20"/>
              </w:rPr>
            </w:pPr>
            <w:r>
              <w:rPr>
                <w:rFonts w:ascii="Arial" w:hAnsi="Arial" w:cs="Arial"/>
                <w:b/>
                <w:bCs/>
                <w:sz w:val="20"/>
                <w:szCs w:val="20"/>
              </w:rPr>
              <w:t>-671 149</w:t>
            </w:r>
          </w:p>
        </w:tc>
        <w:tc>
          <w:tcPr>
            <w:tcW w:w="1160" w:type="dxa"/>
            <w:tcBorders>
              <w:top w:val="nil"/>
              <w:left w:val="nil"/>
              <w:bottom w:val="single" w:sz="4" w:space="0" w:color="auto"/>
              <w:right w:val="single" w:sz="4" w:space="0" w:color="auto"/>
            </w:tcBorders>
            <w:shd w:val="clear" w:color="000000" w:fill="C0C0C0"/>
            <w:vAlign w:val="bottom"/>
            <w:hideMark/>
          </w:tcPr>
          <w:p w:rsidR="00F8739B" w:rsidRDefault="00F8739B" w:rsidP="00F8739B">
            <w:pPr>
              <w:jc w:val="right"/>
              <w:rPr>
                <w:rFonts w:ascii="Arial" w:hAnsi="Arial" w:cs="Arial"/>
                <w:b/>
                <w:bCs/>
                <w:sz w:val="20"/>
                <w:szCs w:val="20"/>
              </w:rPr>
            </w:pPr>
            <w:r>
              <w:rPr>
                <w:rFonts w:ascii="Arial" w:hAnsi="Arial" w:cs="Arial"/>
                <w:b/>
                <w:bCs/>
                <w:sz w:val="20"/>
                <w:szCs w:val="20"/>
              </w:rPr>
              <w:t>434 530</w:t>
            </w:r>
          </w:p>
        </w:tc>
        <w:tc>
          <w:tcPr>
            <w:tcW w:w="1197" w:type="dxa"/>
            <w:tcBorders>
              <w:top w:val="nil"/>
              <w:left w:val="nil"/>
              <w:bottom w:val="single" w:sz="4" w:space="0" w:color="auto"/>
              <w:right w:val="single" w:sz="8" w:space="0" w:color="auto"/>
            </w:tcBorders>
            <w:shd w:val="clear" w:color="000000" w:fill="C0C0C0"/>
            <w:vAlign w:val="bottom"/>
            <w:hideMark/>
          </w:tcPr>
          <w:p w:rsidR="00F8739B" w:rsidRDefault="00F8739B" w:rsidP="00F8739B">
            <w:pPr>
              <w:jc w:val="right"/>
              <w:rPr>
                <w:rFonts w:ascii="Arial" w:hAnsi="Arial" w:cs="Arial"/>
                <w:b/>
                <w:bCs/>
                <w:sz w:val="20"/>
                <w:szCs w:val="20"/>
              </w:rPr>
            </w:pPr>
            <w:r>
              <w:rPr>
                <w:rFonts w:ascii="Arial" w:hAnsi="Arial" w:cs="Arial"/>
                <w:b/>
                <w:bCs/>
                <w:sz w:val="20"/>
                <w:szCs w:val="20"/>
              </w:rPr>
              <w:t>482 585</w:t>
            </w:r>
          </w:p>
        </w:tc>
      </w:tr>
      <w:tr w:rsidR="00F8739B" w:rsidRPr="00B07D23" w:rsidTr="00FA1C99">
        <w:trPr>
          <w:trHeight w:val="248"/>
        </w:trPr>
        <w:tc>
          <w:tcPr>
            <w:tcW w:w="4312" w:type="dxa"/>
            <w:tcBorders>
              <w:top w:val="nil"/>
              <w:left w:val="single" w:sz="8" w:space="0" w:color="auto"/>
              <w:bottom w:val="single" w:sz="4" w:space="0" w:color="auto"/>
              <w:right w:val="single" w:sz="4" w:space="0" w:color="auto"/>
            </w:tcBorders>
            <w:shd w:val="clear" w:color="auto" w:fill="auto"/>
            <w:vAlign w:val="bottom"/>
            <w:hideMark/>
          </w:tcPr>
          <w:p w:rsidR="00F8739B" w:rsidRDefault="00F8739B" w:rsidP="00F8739B">
            <w:pPr>
              <w:rPr>
                <w:rFonts w:ascii="Arial" w:hAnsi="Arial" w:cs="Arial"/>
                <w:b/>
                <w:bCs/>
                <w:sz w:val="20"/>
                <w:szCs w:val="20"/>
              </w:rPr>
            </w:pPr>
            <w:r>
              <w:rPr>
                <w:rFonts w:ascii="Arial" w:hAnsi="Arial" w:cs="Arial"/>
                <w:b/>
                <w:bCs/>
                <w:sz w:val="20"/>
                <w:szCs w:val="20"/>
              </w:rPr>
              <w:t>Finantseerimistegevus</w:t>
            </w:r>
          </w:p>
        </w:tc>
        <w:tc>
          <w:tcPr>
            <w:tcW w:w="1275" w:type="dxa"/>
            <w:tcBorders>
              <w:top w:val="nil"/>
              <w:left w:val="nil"/>
              <w:bottom w:val="single" w:sz="4" w:space="0" w:color="auto"/>
              <w:right w:val="single" w:sz="4" w:space="0" w:color="auto"/>
            </w:tcBorders>
            <w:shd w:val="clear" w:color="000000" w:fill="C0C0C0"/>
            <w:vAlign w:val="bottom"/>
            <w:hideMark/>
          </w:tcPr>
          <w:p w:rsidR="00F8739B" w:rsidRDefault="00F8739B" w:rsidP="00F8739B">
            <w:pPr>
              <w:jc w:val="right"/>
              <w:rPr>
                <w:rFonts w:ascii="Arial" w:hAnsi="Arial" w:cs="Arial"/>
                <w:b/>
                <w:bCs/>
                <w:sz w:val="20"/>
                <w:szCs w:val="20"/>
              </w:rPr>
            </w:pPr>
            <w:r>
              <w:rPr>
                <w:rFonts w:ascii="Arial" w:hAnsi="Arial" w:cs="Arial"/>
                <w:b/>
                <w:bCs/>
                <w:sz w:val="20"/>
                <w:szCs w:val="20"/>
              </w:rPr>
              <w:t>-61 285</w:t>
            </w:r>
          </w:p>
        </w:tc>
        <w:tc>
          <w:tcPr>
            <w:tcW w:w="1160" w:type="dxa"/>
            <w:tcBorders>
              <w:top w:val="nil"/>
              <w:left w:val="nil"/>
              <w:bottom w:val="single" w:sz="4" w:space="0" w:color="auto"/>
              <w:right w:val="single" w:sz="4" w:space="0" w:color="auto"/>
            </w:tcBorders>
            <w:shd w:val="clear" w:color="000000" w:fill="C0C0C0"/>
            <w:vAlign w:val="bottom"/>
            <w:hideMark/>
          </w:tcPr>
          <w:p w:rsidR="00F8739B" w:rsidRDefault="00F8739B" w:rsidP="00F8739B">
            <w:pPr>
              <w:jc w:val="right"/>
              <w:rPr>
                <w:rFonts w:ascii="Arial" w:hAnsi="Arial" w:cs="Arial"/>
                <w:b/>
                <w:bCs/>
                <w:sz w:val="20"/>
                <w:szCs w:val="20"/>
              </w:rPr>
            </w:pPr>
            <w:r>
              <w:rPr>
                <w:rFonts w:ascii="Arial" w:hAnsi="Arial" w:cs="Arial"/>
                <w:b/>
                <w:bCs/>
                <w:sz w:val="20"/>
                <w:szCs w:val="20"/>
              </w:rPr>
              <w:t>1 407 276</w:t>
            </w:r>
          </w:p>
        </w:tc>
        <w:tc>
          <w:tcPr>
            <w:tcW w:w="1160" w:type="dxa"/>
            <w:tcBorders>
              <w:top w:val="nil"/>
              <w:left w:val="nil"/>
              <w:bottom w:val="single" w:sz="4" w:space="0" w:color="auto"/>
              <w:right w:val="single" w:sz="4" w:space="0" w:color="auto"/>
            </w:tcBorders>
            <w:shd w:val="clear" w:color="000000" w:fill="C0C0C0"/>
            <w:vAlign w:val="bottom"/>
            <w:hideMark/>
          </w:tcPr>
          <w:p w:rsidR="00F8739B" w:rsidRDefault="00F8739B" w:rsidP="00F8739B">
            <w:pPr>
              <w:jc w:val="right"/>
              <w:rPr>
                <w:rFonts w:ascii="Arial" w:hAnsi="Arial" w:cs="Arial"/>
                <w:b/>
                <w:bCs/>
                <w:sz w:val="20"/>
                <w:szCs w:val="20"/>
              </w:rPr>
            </w:pPr>
            <w:r>
              <w:rPr>
                <w:rFonts w:ascii="Arial" w:hAnsi="Arial" w:cs="Arial"/>
                <w:b/>
                <w:bCs/>
                <w:sz w:val="20"/>
                <w:szCs w:val="20"/>
              </w:rPr>
              <w:t>506 266</w:t>
            </w:r>
          </w:p>
        </w:tc>
        <w:tc>
          <w:tcPr>
            <w:tcW w:w="1160" w:type="dxa"/>
            <w:tcBorders>
              <w:top w:val="nil"/>
              <w:left w:val="nil"/>
              <w:bottom w:val="single" w:sz="4" w:space="0" w:color="auto"/>
              <w:right w:val="single" w:sz="4" w:space="0" w:color="auto"/>
            </w:tcBorders>
            <w:shd w:val="clear" w:color="000000" w:fill="C0C0C0"/>
            <w:vAlign w:val="bottom"/>
            <w:hideMark/>
          </w:tcPr>
          <w:p w:rsidR="00F8739B" w:rsidRDefault="00F8739B" w:rsidP="00F8739B">
            <w:pPr>
              <w:jc w:val="right"/>
              <w:rPr>
                <w:rFonts w:ascii="Arial" w:hAnsi="Arial" w:cs="Arial"/>
                <w:b/>
                <w:bCs/>
                <w:sz w:val="20"/>
                <w:szCs w:val="20"/>
              </w:rPr>
            </w:pPr>
            <w:r>
              <w:rPr>
                <w:rFonts w:ascii="Arial" w:hAnsi="Arial" w:cs="Arial"/>
                <w:b/>
                <w:bCs/>
                <w:sz w:val="20"/>
                <w:szCs w:val="20"/>
              </w:rPr>
              <w:t>-393 178</w:t>
            </w:r>
          </w:p>
        </w:tc>
        <w:tc>
          <w:tcPr>
            <w:tcW w:w="1197" w:type="dxa"/>
            <w:tcBorders>
              <w:top w:val="nil"/>
              <w:left w:val="nil"/>
              <w:bottom w:val="single" w:sz="4" w:space="0" w:color="auto"/>
              <w:right w:val="single" w:sz="8" w:space="0" w:color="auto"/>
            </w:tcBorders>
            <w:shd w:val="clear" w:color="000000" w:fill="C0C0C0"/>
            <w:vAlign w:val="bottom"/>
            <w:hideMark/>
          </w:tcPr>
          <w:p w:rsidR="00F8739B" w:rsidRDefault="00F8739B" w:rsidP="00F8739B">
            <w:pPr>
              <w:jc w:val="right"/>
              <w:rPr>
                <w:rFonts w:ascii="Arial" w:hAnsi="Arial" w:cs="Arial"/>
                <w:b/>
                <w:bCs/>
                <w:sz w:val="20"/>
                <w:szCs w:val="20"/>
              </w:rPr>
            </w:pPr>
            <w:r>
              <w:rPr>
                <w:rFonts w:ascii="Arial" w:hAnsi="Arial" w:cs="Arial"/>
                <w:b/>
                <w:bCs/>
                <w:sz w:val="20"/>
                <w:szCs w:val="20"/>
              </w:rPr>
              <w:t>-429 388</w:t>
            </w:r>
          </w:p>
        </w:tc>
      </w:tr>
      <w:tr w:rsidR="00F8739B" w:rsidRPr="00B07D23" w:rsidTr="00FA1C99">
        <w:trPr>
          <w:trHeight w:val="497"/>
        </w:trPr>
        <w:tc>
          <w:tcPr>
            <w:tcW w:w="4312" w:type="dxa"/>
            <w:tcBorders>
              <w:top w:val="nil"/>
              <w:left w:val="single" w:sz="8" w:space="0" w:color="auto"/>
              <w:bottom w:val="single" w:sz="4" w:space="0" w:color="auto"/>
              <w:right w:val="single" w:sz="4" w:space="0" w:color="auto"/>
            </w:tcBorders>
            <w:shd w:val="clear" w:color="auto" w:fill="auto"/>
            <w:vAlign w:val="bottom"/>
            <w:hideMark/>
          </w:tcPr>
          <w:p w:rsidR="00F8739B" w:rsidRDefault="00F8739B" w:rsidP="00F8739B">
            <w:pPr>
              <w:rPr>
                <w:rFonts w:ascii="Arial" w:hAnsi="Arial" w:cs="Arial"/>
                <w:b/>
                <w:bCs/>
                <w:sz w:val="20"/>
                <w:szCs w:val="20"/>
              </w:rPr>
            </w:pPr>
            <w:r>
              <w:rPr>
                <w:rFonts w:ascii="Arial" w:hAnsi="Arial" w:cs="Arial"/>
                <w:b/>
                <w:bCs/>
                <w:sz w:val="20"/>
                <w:szCs w:val="20"/>
              </w:rPr>
              <w:t>Likviidsete varade muutus (+ suurenemine, - vähenemine)</w:t>
            </w:r>
          </w:p>
        </w:tc>
        <w:tc>
          <w:tcPr>
            <w:tcW w:w="1275" w:type="dxa"/>
            <w:tcBorders>
              <w:top w:val="nil"/>
              <w:left w:val="nil"/>
              <w:bottom w:val="single" w:sz="4" w:space="0" w:color="auto"/>
              <w:right w:val="single" w:sz="4" w:space="0" w:color="auto"/>
            </w:tcBorders>
            <w:shd w:val="clear" w:color="000000" w:fill="C0C0C0"/>
            <w:vAlign w:val="bottom"/>
            <w:hideMark/>
          </w:tcPr>
          <w:p w:rsidR="00F8739B" w:rsidRDefault="00F8739B" w:rsidP="00F8739B">
            <w:pPr>
              <w:jc w:val="right"/>
              <w:rPr>
                <w:rFonts w:ascii="Arial" w:hAnsi="Arial" w:cs="Arial"/>
                <w:b/>
                <w:bCs/>
                <w:sz w:val="20"/>
                <w:szCs w:val="20"/>
              </w:rPr>
            </w:pPr>
            <w:r>
              <w:rPr>
                <w:rFonts w:ascii="Arial" w:hAnsi="Arial" w:cs="Arial"/>
                <w:b/>
                <w:bCs/>
                <w:sz w:val="20"/>
                <w:szCs w:val="20"/>
              </w:rPr>
              <w:t>-920 571</w:t>
            </w:r>
          </w:p>
        </w:tc>
        <w:tc>
          <w:tcPr>
            <w:tcW w:w="1160" w:type="dxa"/>
            <w:tcBorders>
              <w:top w:val="nil"/>
              <w:left w:val="nil"/>
              <w:bottom w:val="single" w:sz="4" w:space="0" w:color="auto"/>
              <w:right w:val="single" w:sz="4" w:space="0" w:color="auto"/>
            </w:tcBorders>
            <w:shd w:val="clear" w:color="000000" w:fill="C0C0C0"/>
            <w:vAlign w:val="bottom"/>
            <w:hideMark/>
          </w:tcPr>
          <w:p w:rsidR="00F8739B" w:rsidRDefault="00F8739B" w:rsidP="00F8739B">
            <w:pPr>
              <w:jc w:val="right"/>
              <w:rPr>
                <w:rFonts w:ascii="Arial" w:hAnsi="Arial" w:cs="Arial"/>
                <w:b/>
                <w:bCs/>
                <w:sz w:val="20"/>
                <w:szCs w:val="20"/>
              </w:rPr>
            </w:pPr>
            <w:r>
              <w:rPr>
                <w:rFonts w:ascii="Arial" w:hAnsi="Arial" w:cs="Arial"/>
                <w:b/>
                <w:bCs/>
                <w:sz w:val="20"/>
                <w:szCs w:val="20"/>
              </w:rPr>
              <w:t>-185 998</w:t>
            </w:r>
          </w:p>
        </w:tc>
        <w:tc>
          <w:tcPr>
            <w:tcW w:w="1160" w:type="dxa"/>
            <w:tcBorders>
              <w:top w:val="nil"/>
              <w:left w:val="nil"/>
              <w:bottom w:val="single" w:sz="4" w:space="0" w:color="auto"/>
              <w:right w:val="single" w:sz="4" w:space="0" w:color="auto"/>
            </w:tcBorders>
            <w:shd w:val="clear" w:color="000000" w:fill="C0C0C0"/>
            <w:vAlign w:val="bottom"/>
            <w:hideMark/>
          </w:tcPr>
          <w:p w:rsidR="00F8739B" w:rsidRDefault="00F8739B" w:rsidP="00F8739B">
            <w:pPr>
              <w:jc w:val="right"/>
              <w:rPr>
                <w:rFonts w:ascii="Arial" w:hAnsi="Arial" w:cs="Arial"/>
                <w:b/>
                <w:bCs/>
                <w:sz w:val="20"/>
                <w:szCs w:val="20"/>
              </w:rPr>
            </w:pPr>
            <w:r>
              <w:rPr>
                <w:rFonts w:ascii="Arial" w:hAnsi="Arial" w:cs="Arial"/>
                <w:b/>
                <w:bCs/>
                <w:sz w:val="20"/>
                <w:szCs w:val="20"/>
              </w:rPr>
              <w:t>-164 882</w:t>
            </w:r>
          </w:p>
        </w:tc>
        <w:tc>
          <w:tcPr>
            <w:tcW w:w="1160" w:type="dxa"/>
            <w:tcBorders>
              <w:top w:val="nil"/>
              <w:left w:val="nil"/>
              <w:bottom w:val="single" w:sz="4" w:space="0" w:color="auto"/>
              <w:right w:val="single" w:sz="4" w:space="0" w:color="auto"/>
            </w:tcBorders>
            <w:shd w:val="clear" w:color="000000" w:fill="C0C0C0"/>
            <w:vAlign w:val="bottom"/>
            <w:hideMark/>
          </w:tcPr>
          <w:p w:rsidR="00F8739B" w:rsidRDefault="00F8739B" w:rsidP="00F8739B">
            <w:pPr>
              <w:jc w:val="right"/>
              <w:rPr>
                <w:rFonts w:ascii="Arial" w:hAnsi="Arial" w:cs="Arial"/>
                <w:b/>
                <w:bCs/>
                <w:sz w:val="20"/>
                <w:szCs w:val="20"/>
              </w:rPr>
            </w:pPr>
            <w:r>
              <w:rPr>
                <w:rFonts w:ascii="Arial" w:hAnsi="Arial" w:cs="Arial"/>
                <w:b/>
                <w:bCs/>
                <w:sz w:val="20"/>
                <w:szCs w:val="20"/>
              </w:rPr>
              <w:t>41 352</w:t>
            </w:r>
          </w:p>
        </w:tc>
        <w:tc>
          <w:tcPr>
            <w:tcW w:w="1197" w:type="dxa"/>
            <w:tcBorders>
              <w:top w:val="nil"/>
              <w:left w:val="nil"/>
              <w:bottom w:val="single" w:sz="4" w:space="0" w:color="auto"/>
              <w:right w:val="single" w:sz="8" w:space="0" w:color="auto"/>
            </w:tcBorders>
            <w:shd w:val="clear" w:color="000000" w:fill="C0C0C0"/>
            <w:vAlign w:val="bottom"/>
            <w:hideMark/>
          </w:tcPr>
          <w:p w:rsidR="00F8739B" w:rsidRDefault="00F8739B" w:rsidP="00F8739B">
            <w:pPr>
              <w:jc w:val="right"/>
              <w:rPr>
                <w:rFonts w:ascii="Arial" w:hAnsi="Arial" w:cs="Arial"/>
                <w:b/>
                <w:bCs/>
                <w:sz w:val="20"/>
                <w:szCs w:val="20"/>
              </w:rPr>
            </w:pPr>
            <w:r>
              <w:rPr>
                <w:rFonts w:ascii="Arial" w:hAnsi="Arial" w:cs="Arial"/>
                <w:b/>
                <w:bCs/>
                <w:sz w:val="20"/>
                <w:szCs w:val="20"/>
              </w:rPr>
              <w:t>53 197</w:t>
            </w:r>
          </w:p>
        </w:tc>
      </w:tr>
      <w:tr w:rsidR="00F8739B" w:rsidRPr="00B07D23" w:rsidTr="00FA1C99">
        <w:trPr>
          <w:trHeight w:val="497"/>
        </w:trPr>
        <w:tc>
          <w:tcPr>
            <w:tcW w:w="4312" w:type="dxa"/>
            <w:tcBorders>
              <w:top w:val="nil"/>
              <w:left w:val="single" w:sz="8" w:space="0" w:color="auto"/>
              <w:bottom w:val="single" w:sz="4" w:space="0" w:color="auto"/>
              <w:right w:val="single" w:sz="4" w:space="0" w:color="auto"/>
            </w:tcBorders>
            <w:shd w:val="clear" w:color="auto" w:fill="auto"/>
            <w:vAlign w:val="bottom"/>
            <w:hideMark/>
          </w:tcPr>
          <w:p w:rsidR="00F8739B" w:rsidRDefault="00F8739B" w:rsidP="00F8739B">
            <w:pPr>
              <w:rPr>
                <w:rFonts w:ascii="Arial" w:hAnsi="Arial" w:cs="Arial"/>
                <w:b/>
                <w:bCs/>
                <w:sz w:val="20"/>
                <w:szCs w:val="20"/>
              </w:rPr>
            </w:pPr>
            <w:r>
              <w:rPr>
                <w:rFonts w:ascii="Arial" w:hAnsi="Arial" w:cs="Arial"/>
                <w:b/>
                <w:bCs/>
                <w:sz w:val="20"/>
                <w:szCs w:val="20"/>
              </w:rPr>
              <w:t>Nõuete ja kohustuste saldode muutus (tekkepõhise e/a korral) (+/-)</w:t>
            </w:r>
          </w:p>
        </w:tc>
        <w:tc>
          <w:tcPr>
            <w:tcW w:w="1275" w:type="dxa"/>
            <w:tcBorders>
              <w:top w:val="nil"/>
              <w:left w:val="nil"/>
              <w:bottom w:val="single" w:sz="4" w:space="0" w:color="auto"/>
              <w:right w:val="single" w:sz="4" w:space="0" w:color="auto"/>
            </w:tcBorders>
            <w:shd w:val="clear" w:color="000000" w:fill="C0C0C0"/>
            <w:vAlign w:val="bottom"/>
            <w:hideMark/>
          </w:tcPr>
          <w:p w:rsidR="00F8739B" w:rsidRDefault="00F8739B" w:rsidP="00F8739B">
            <w:pPr>
              <w:jc w:val="right"/>
              <w:rPr>
                <w:rFonts w:ascii="Arial" w:hAnsi="Arial" w:cs="Arial"/>
                <w:b/>
                <w:bCs/>
                <w:sz w:val="20"/>
                <w:szCs w:val="20"/>
              </w:rPr>
            </w:pPr>
            <w:r>
              <w:rPr>
                <w:rFonts w:ascii="Arial" w:hAnsi="Arial" w:cs="Arial"/>
                <w:b/>
                <w:bCs/>
                <w:sz w:val="20"/>
                <w:szCs w:val="20"/>
              </w:rPr>
              <w:t>0</w:t>
            </w:r>
          </w:p>
        </w:tc>
        <w:tc>
          <w:tcPr>
            <w:tcW w:w="1160" w:type="dxa"/>
            <w:tcBorders>
              <w:top w:val="nil"/>
              <w:left w:val="nil"/>
              <w:bottom w:val="single" w:sz="4" w:space="0" w:color="auto"/>
              <w:right w:val="single" w:sz="4" w:space="0" w:color="auto"/>
            </w:tcBorders>
            <w:shd w:val="clear" w:color="000000" w:fill="C0C0C0"/>
            <w:vAlign w:val="bottom"/>
            <w:hideMark/>
          </w:tcPr>
          <w:p w:rsidR="00F8739B" w:rsidRDefault="00F8739B" w:rsidP="00F8739B">
            <w:pPr>
              <w:jc w:val="right"/>
              <w:rPr>
                <w:rFonts w:ascii="Arial" w:hAnsi="Arial" w:cs="Arial"/>
                <w:b/>
                <w:bCs/>
                <w:sz w:val="20"/>
                <w:szCs w:val="20"/>
              </w:rPr>
            </w:pPr>
            <w:r>
              <w:rPr>
                <w:rFonts w:ascii="Arial" w:hAnsi="Arial" w:cs="Arial"/>
                <w:b/>
                <w:bCs/>
                <w:sz w:val="20"/>
                <w:szCs w:val="20"/>
              </w:rPr>
              <w:t>0</w:t>
            </w:r>
          </w:p>
        </w:tc>
        <w:tc>
          <w:tcPr>
            <w:tcW w:w="1160" w:type="dxa"/>
            <w:tcBorders>
              <w:top w:val="nil"/>
              <w:left w:val="nil"/>
              <w:bottom w:val="single" w:sz="4" w:space="0" w:color="auto"/>
              <w:right w:val="single" w:sz="4" w:space="0" w:color="auto"/>
            </w:tcBorders>
            <w:shd w:val="clear" w:color="000000" w:fill="C0C0C0"/>
            <w:vAlign w:val="bottom"/>
            <w:hideMark/>
          </w:tcPr>
          <w:p w:rsidR="00F8739B" w:rsidRDefault="00F8739B" w:rsidP="00F8739B">
            <w:pPr>
              <w:jc w:val="right"/>
              <w:rPr>
                <w:rFonts w:ascii="Arial" w:hAnsi="Arial" w:cs="Arial"/>
                <w:b/>
                <w:bCs/>
                <w:sz w:val="20"/>
                <w:szCs w:val="20"/>
              </w:rPr>
            </w:pPr>
            <w:r>
              <w:rPr>
                <w:rFonts w:ascii="Arial" w:hAnsi="Arial" w:cs="Arial"/>
                <w:b/>
                <w:bCs/>
                <w:sz w:val="20"/>
                <w:szCs w:val="20"/>
              </w:rPr>
              <w:t>0</w:t>
            </w:r>
          </w:p>
        </w:tc>
        <w:tc>
          <w:tcPr>
            <w:tcW w:w="1160" w:type="dxa"/>
            <w:tcBorders>
              <w:top w:val="nil"/>
              <w:left w:val="nil"/>
              <w:bottom w:val="single" w:sz="4" w:space="0" w:color="auto"/>
              <w:right w:val="single" w:sz="4" w:space="0" w:color="auto"/>
            </w:tcBorders>
            <w:shd w:val="clear" w:color="000000" w:fill="C0C0C0"/>
            <w:vAlign w:val="bottom"/>
            <w:hideMark/>
          </w:tcPr>
          <w:p w:rsidR="00F8739B" w:rsidRDefault="00F8739B" w:rsidP="00F8739B">
            <w:pPr>
              <w:jc w:val="right"/>
              <w:rPr>
                <w:rFonts w:ascii="Arial" w:hAnsi="Arial" w:cs="Arial"/>
                <w:b/>
                <w:bCs/>
                <w:sz w:val="20"/>
                <w:szCs w:val="20"/>
              </w:rPr>
            </w:pPr>
            <w:r>
              <w:rPr>
                <w:rFonts w:ascii="Arial" w:hAnsi="Arial" w:cs="Arial"/>
                <w:b/>
                <w:bCs/>
                <w:sz w:val="20"/>
                <w:szCs w:val="20"/>
              </w:rPr>
              <w:t>0</w:t>
            </w:r>
          </w:p>
        </w:tc>
        <w:tc>
          <w:tcPr>
            <w:tcW w:w="1197" w:type="dxa"/>
            <w:tcBorders>
              <w:top w:val="nil"/>
              <w:left w:val="nil"/>
              <w:bottom w:val="single" w:sz="4" w:space="0" w:color="auto"/>
              <w:right w:val="single" w:sz="8" w:space="0" w:color="auto"/>
            </w:tcBorders>
            <w:shd w:val="clear" w:color="000000" w:fill="C0C0C0"/>
            <w:vAlign w:val="bottom"/>
            <w:hideMark/>
          </w:tcPr>
          <w:p w:rsidR="00F8739B" w:rsidRDefault="00F8739B" w:rsidP="00F8739B">
            <w:pPr>
              <w:jc w:val="right"/>
              <w:rPr>
                <w:rFonts w:ascii="Arial" w:hAnsi="Arial" w:cs="Arial"/>
                <w:b/>
                <w:bCs/>
                <w:sz w:val="20"/>
                <w:szCs w:val="20"/>
              </w:rPr>
            </w:pPr>
            <w:r>
              <w:rPr>
                <w:rFonts w:ascii="Arial" w:hAnsi="Arial" w:cs="Arial"/>
                <w:b/>
                <w:bCs/>
                <w:sz w:val="20"/>
                <w:szCs w:val="20"/>
              </w:rPr>
              <w:t>0</w:t>
            </w:r>
          </w:p>
        </w:tc>
      </w:tr>
      <w:tr w:rsidR="00F8739B" w:rsidRPr="00B07D23" w:rsidTr="00FA1C99">
        <w:trPr>
          <w:trHeight w:val="248"/>
        </w:trPr>
        <w:tc>
          <w:tcPr>
            <w:tcW w:w="4312" w:type="dxa"/>
            <w:tcBorders>
              <w:top w:val="nil"/>
              <w:left w:val="single" w:sz="8" w:space="0" w:color="auto"/>
              <w:bottom w:val="single" w:sz="4" w:space="0" w:color="auto"/>
              <w:right w:val="single" w:sz="4" w:space="0" w:color="auto"/>
            </w:tcBorders>
            <w:shd w:val="clear" w:color="auto" w:fill="auto"/>
            <w:vAlign w:val="bottom"/>
            <w:hideMark/>
          </w:tcPr>
          <w:p w:rsidR="00F8739B" w:rsidRDefault="00F8739B" w:rsidP="00F8739B">
            <w:pPr>
              <w:rPr>
                <w:rFonts w:ascii="Arial" w:hAnsi="Arial" w:cs="Arial"/>
                <w:b/>
                <w:bCs/>
                <w:sz w:val="20"/>
                <w:szCs w:val="20"/>
              </w:rPr>
            </w:pPr>
            <w:r>
              <w:rPr>
                <w:rFonts w:ascii="Arial" w:hAnsi="Arial" w:cs="Arial"/>
                <w:b/>
                <w:bCs/>
                <w:sz w:val="20"/>
                <w:szCs w:val="20"/>
              </w:rPr>
              <w:t>Likviidsete varade suunamata jääk aasta lõpuks</w:t>
            </w:r>
          </w:p>
        </w:tc>
        <w:tc>
          <w:tcPr>
            <w:tcW w:w="1275" w:type="dxa"/>
            <w:tcBorders>
              <w:top w:val="nil"/>
              <w:left w:val="nil"/>
              <w:bottom w:val="single" w:sz="4" w:space="0" w:color="auto"/>
              <w:right w:val="single" w:sz="4" w:space="0" w:color="auto"/>
            </w:tcBorders>
            <w:shd w:val="clear" w:color="000000" w:fill="C0C0C0"/>
            <w:noWrap/>
            <w:vAlign w:val="bottom"/>
            <w:hideMark/>
          </w:tcPr>
          <w:p w:rsidR="00F8739B" w:rsidRDefault="00F8739B" w:rsidP="00F8739B">
            <w:pPr>
              <w:jc w:val="right"/>
              <w:rPr>
                <w:rFonts w:ascii="Arial" w:hAnsi="Arial" w:cs="Arial"/>
                <w:b/>
                <w:bCs/>
                <w:sz w:val="20"/>
                <w:szCs w:val="20"/>
              </w:rPr>
            </w:pPr>
            <w:r>
              <w:rPr>
                <w:rFonts w:ascii="Arial" w:hAnsi="Arial" w:cs="Arial"/>
                <w:b/>
                <w:bCs/>
                <w:sz w:val="20"/>
                <w:szCs w:val="20"/>
              </w:rPr>
              <w:t>428 837</w:t>
            </w:r>
          </w:p>
        </w:tc>
        <w:tc>
          <w:tcPr>
            <w:tcW w:w="1160" w:type="dxa"/>
            <w:tcBorders>
              <w:top w:val="nil"/>
              <w:left w:val="nil"/>
              <w:bottom w:val="single" w:sz="4" w:space="0" w:color="auto"/>
              <w:right w:val="single" w:sz="4" w:space="0" w:color="auto"/>
            </w:tcBorders>
            <w:shd w:val="clear" w:color="000000" w:fill="C0C0C0"/>
            <w:noWrap/>
            <w:vAlign w:val="bottom"/>
            <w:hideMark/>
          </w:tcPr>
          <w:p w:rsidR="00F8739B" w:rsidRDefault="00F8739B" w:rsidP="00F8739B">
            <w:pPr>
              <w:jc w:val="right"/>
              <w:rPr>
                <w:rFonts w:ascii="Arial" w:hAnsi="Arial" w:cs="Arial"/>
                <w:b/>
                <w:bCs/>
                <w:sz w:val="20"/>
                <w:szCs w:val="20"/>
              </w:rPr>
            </w:pPr>
            <w:r>
              <w:rPr>
                <w:rFonts w:ascii="Arial" w:hAnsi="Arial" w:cs="Arial"/>
                <w:b/>
                <w:bCs/>
                <w:sz w:val="20"/>
                <w:szCs w:val="20"/>
              </w:rPr>
              <w:t>242 839</w:t>
            </w:r>
          </w:p>
        </w:tc>
        <w:tc>
          <w:tcPr>
            <w:tcW w:w="1160" w:type="dxa"/>
            <w:tcBorders>
              <w:top w:val="nil"/>
              <w:left w:val="nil"/>
              <w:bottom w:val="single" w:sz="4" w:space="0" w:color="auto"/>
              <w:right w:val="single" w:sz="4" w:space="0" w:color="auto"/>
            </w:tcBorders>
            <w:shd w:val="clear" w:color="000000" w:fill="C0C0C0"/>
            <w:noWrap/>
            <w:vAlign w:val="bottom"/>
            <w:hideMark/>
          </w:tcPr>
          <w:p w:rsidR="00F8739B" w:rsidRDefault="00F8739B" w:rsidP="00F8739B">
            <w:pPr>
              <w:jc w:val="right"/>
              <w:rPr>
                <w:rFonts w:ascii="Arial" w:hAnsi="Arial" w:cs="Arial"/>
                <w:b/>
                <w:bCs/>
                <w:sz w:val="20"/>
                <w:szCs w:val="20"/>
              </w:rPr>
            </w:pPr>
            <w:r>
              <w:rPr>
                <w:rFonts w:ascii="Arial" w:hAnsi="Arial" w:cs="Arial"/>
                <w:b/>
                <w:bCs/>
                <w:sz w:val="20"/>
                <w:szCs w:val="20"/>
              </w:rPr>
              <w:t>77 957</w:t>
            </w:r>
          </w:p>
        </w:tc>
        <w:tc>
          <w:tcPr>
            <w:tcW w:w="1160" w:type="dxa"/>
            <w:tcBorders>
              <w:top w:val="nil"/>
              <w:left w:val="nil"/>
              <w:bottom w:val="single" w:sz="4" w:space="0" w:color="auto"/>
              <w:right w:val="single" w:sz="4" w:space="0" w:color="auto"/>
            </w:tcBorders>
            <w:shd w:val="clear" w:color="000000" w:fill="C0C0C0"/>
            <w:noWrap/>
            <w:vAlign w:val="bottom"/>
            <w:hideMark/>
          </w:tcPr>
          <w:p w:rsidR="00F8739B" w:rsidRDefault="00F8739B" w:rsidP="00F8739B">
            <w:pPr>
              <w:jc w:val="right"/>
              <w:rPr>
                <w:rFonts w:ascii="Arial" w:hAnsi="Arial" w:cs="Arial"/>
                <w:b/>
                <w:bCs/>
                <w:sz w:val="20"/>
                <w:szCs w:val="20"/>
              </w:rPr>
            </w:pPr>
            <w:r>
              <w:rPr>
                <w:rFonts w:ascii="Arial" w:hAnsi="Arial" w:cs="Arial"/>
                <w:b/>
                <w:bCs/>
                <w:sz w:val="20"/>
                <w:szCs w:val="20"/>
              </w:rPr>
              <w:t>119 309</w:t>
            </w:r>
          </w:p>
        </w:tc>
        <w:tc>
          <w:tcPr>
            <w:tcW w:w="1197" w:type="dxa"/>
            <w:tcBorders>
              <w:top w:val="nil"/>
              <w:left w:val="nil"/>
              <w:bottom w:val="single" w:sz="4" w:space="0" w:color="auto"/>
              <w:right w:val="single" w:sz="8" w:space="0" w:color="auto"/>
            </w:tcBorders>
            <w:shd w:val="clear" w:color="000000" w:fill="C0C0C0"/>
            <w:noWrap/>
            <w:vAlign w:val="bottom"/>
            <w:hideMark/>
          </w:tcPr>
          <w:p w:rsidR="00F8739B" w:rsidRDefault="00F8739B" w:rsidP="00F8739B">
            <w:pPr>
              <w:jc w:val="right"/>
              <w:rPr>
                <w:rFonts w:ascii="Arial" w:hAnsi="Arial" w:cs="Arial"/>
                <w:b/>
                <w:bCs/>
                <w:sz w:val="20"/>
                <w:szCs w:val="20"/>
              </w:rPr>
            </w:pPr>
            <w:r>
              <w:rPr>
                <w:rFonts w:ascii="Arial" w:hAnsi="Arial" w:cs="Arial"/>
                <w:b/>
                <w:bCs/>
                <w:sz w:val="20"/>
                <w:szCs w:val="20"/>
              </w:rPr>
              <w:t>172 506</w:t>
            </w:r>
          </w:p>
        </w:tc>
      </w:tr>
      <w:tr w:rsidR="00F8739B" w:rsidRPr="00B07D23" w:rsidTr="00FA1C99">
        <w:trPr>
          <w:trHeight w:val="248"/>
        </w:trPr>
        <w:tc>
          <w:tcPr>
            <w:tcW w:w="4312" w:type="dxa"/>
            <w:tcBorders>
              <w:top w:val="nil"/>
              <w:left w:val="single" w:sz="8" w:space="0" w:color="auto"/>
              <w:bottom w:val="single" w:sz="4" w:space="0" w:color="auto"/>
              <w:right w:val="single" w:sz="4" w:space="0" w:color="auto"/>
            </w:tcBorders>
            <w:shd w:val="clear" w:color="auto" w:fill="auto"/>
            <w:hideMark/>
          </w:tcPr>
          <w:p w:rsidR="00F8739B" w:rsidRDefault="00F8739B" w:rsidP="00F8739B">
            <w:pPr>
              <w:rPr>
                <w:rFonts w:ascii="Arial" w:hAnsi="Arial" w:cs="Arial"/>
                <w:b/>
                <w:bCs/>
                <w:sz w:val="20"/>
                <w:szCs w:val="20"/>
              </w:rPr>
            </w:pPr>
            <w:r>
              <w:rPr>
                <w:rFonts w:ascii="Arial" w:hAnsi="Arial" w:cs="Arial"/>
                <w:b/>
                <w:bCs/>
                <w:sz w:val="20"/>
                <w:szCs w:val="20"/>
              </w:rPr>
              <w:t>Võlakohustused kokku aasta lõpu seisuga</w:t>
            </w:r>
          </w:p>
        </w:tc>
        <w:tc>
          <w:tcPr>
            <w:tcW w:w="1275" w:type="dxa"/>
            <w:tcBorders>
              <w:top w:val="nil"/>
              <w:left w:val="nil"/>
              <w:bottom w:val="single" w:sz="4" w:space="0" w:color="auto"/>
              <w:right w:val="single" w:sz="4" w:space="0" w:color="auto"/>
            </w:tcBorders>
            <w:shd w:val="clear" w:color="000000" w:fill="C0C0C0"/>
            <w:vAlign w:val="bottom"/>
            <w:hideMark/>
          </w:tcPr>
          <w:p w:rsidR="00F8739B" w:rsidRDefault="00F8739B" w:rsidP="00F8739B">
            <w:pPr>
              <w:jc w:val="right"/>
              <w:rPr>
                <w:rFonts w:ascii="Arial" w:hAnsi="Arial" w:cs="Arial"/>
                <w:b/>
                <w:bCs/>
                <w:sz w:val="20"/>
                <w:szCs w:val="20"/>
              </w:rPr>
            </w:pPr>
            <w:r>
              <w:rPr>
                <w:rFonts w:ascii="Arial" w:hAnsi="Arial" w:cs="Arial"/>
                <w:b/>
                <w:bCs/>
                <w:sz w:val="20"/>
                <w:szCs w:val="20"/>
              </w:rPr>
              <w:t>3 343 116</w:t>
            </w:r>
          </w:p>
        </w:tc>
        <w:tc>
          <w:tcPr>
            <w:tcW w:w="1160" w:type="dxa"/>
            <w:tcBorders>
              <w:top w:val="nil"/>
              <w:left w:val="nil"/>
              <w:bottom w:val="single" w:sz="4" w:space="0" w:color="auto"/>
              <w:right w:val="single" w:sz="4" w:space="0" w:color="auto"/>
            </w:tcBorders>
            <w:shd w:val="clear" w:color="000000" w:fill="C0C0C0"/>
            <w:vAlign w:val="bottom"/>
            <w:hideMark/>
          </w:tcPr>
          <w:p w:rsidR="00F8739B" w:rsidRDefault="00F8739B" w:rsidP="00F8739B">
            <w:pPr>
              <w:jc w:val="right"/>
              <w:rPr>
                <w:rFonts w:ascii="Arial" w:hAnsi="Arial" w:cs="Arial"/>
                <w:b/>
                <w:bCs/>
                <w:sz w:val="20"/>
                <w:szCs w:val="20"/>
              </w:rPr>
            </w:pPr>
            <w:r>
              <w:rPr>
                <w:rFonts w:ascii="Arial" w:hAnsi="Arial" w:cs="Arial"/>
                <w:b/>
                <w:bCs/>
                <w:sz w:val="20"/>
                <w:szCs w:val="20"/>
              </w:rPr>
              <w:t>4 750 391</w:t>
            </w:r>
          </w:p>
        </w:tc>
        <w:tc>
          <w:tcPr>
            <w:tcW w:w="1160" w:type="dxa"/>
            <w:tcBorders>
              <w:top w:val="nil"/>
              <w:left w:val="nil"/>
              <w:bottom w:val="single" w:sz="4" w:space="0" w:color="auto"/>
              <w:right w:val="single" w:sz="4" w:space="0" w:color="auto"/>
            </w:tcBorders>
            <w:shd w:val="clear" w:color="000000" w:fill="C0C0C0"/>
            <w:vAlign w:val="bottom"/>
            <w:hideMark/>
          </w:tcPr>
          <w:p w:rsidR="00F8739B" w:rsidRDefault="00F8739B" w:rsidP="00F8739B">
            <w:pPr>
              <w:jc w:val="right"/>
              <w:rPr>
                <w:rFonts w:ascii="Arial" w:hAnsi="Arial" w:cs="Arial"/>
                <w:b/>
                <w:bCs/>
                <w:sz w:val="20"/>
                <w:szCs w:val="20"/>
              </w:rPr>
            </w:pPr>
            <w:r>
              <w:rPr>
                <w:rFonts w:ascii="Arial" w:hAnsi="Arial" w:cs="Arial"/>
                <w:b/>
                <w:bCs/>
                <w:sz w:val="20"/>
                <w:szCs w:val="20"/>
              </w:rPr>
              <w:t>5 256 658</w:t>
            </w:r>
          </w:p>
        </w:tc>
        <w:tc>
          <w:tcPr>
            <w:tcW w:w="1160" w:type="dxa"/>
            <w:tcBorders>
              <w:top w:val="nil"/>
              <w:left w:val="nil"/>
              <w:bottom w:val="single" w:sz="4" w:space="0" w:color="auto"/>
              <w:right w:val="single" w:sz="4" w:space="0" w:color="auto"/>
            </w:tcBorders>
            <w:shd w:val="clear" w:color="000000" w:fill="C0C0C0"/>
            <w:vAlign w:val="bottom"/>
            <w:hideMark/>
          </w:tcPr>
          <w:p w:rsidR="00F8739B" w:rsidRDefault="00F8739B" w:rsidP="00F8739B">
            <w:pPr>
              <w:jc w:val="right"/>
              <w:rPr>
                <w:rFonts w:ascii="Arial" w:hAnsi="Arial" w:cs="Arial"/>
                <w:b/>
                <w:bCs/>
                <w:sz w:val="20"/>
                <w:szCs w:val="20"/>
              </w:rPr>
            </w:pPr>
            <w:r>
              <w:rPr>
                <w:rFonts w:ascii="Arial" w:hAnsi="Arial" w:cs="Arial"/>
                <w:b/>
                <w:bCs/>
                <w:sz w:val="20"/>
                <w:szCs w:val="20"/>
              </w:rPr>
              <w:t>4 863 480</w:t>
            </w:r>
          </w:p>
        </w:tc>
        <w:tc>
          <w:tcPr>
            <w:tcW w:w="1197" w:type="dxa"/>
            <w:tcBorders>
              <w:top w:val="nil"/>
              <w:left w:val="nil"/>
              <w:bottom w:val="single" w:sz="4" w:space="0" w:color="auto"/>
              <w:right w:val="single" w:sz="8" w:space="0" w:color="auto"/>
            </w:tcBorders>
            <w:shd w:val="clear" w:color="000000" w:fill="C0C0C0"/>
            <w:vAlign w:val="bottom"/>
            <w:hideMark/>
          </w:tcPr>
          <w:p w:rsidR="00F8739B" w:rsidRDefault="00F8739B" w:rsidP="00F8739B">
            <w:pPr>
              <w:jc w:val="right"/>
              <w:rPr>
                <w:rFonts w:ascii="Arial" w:hAnsi="Arial" w:cs="Arial"/>
                <w:b/>
                <w:bCs/>
                <w:sz w:val="20"/>
                <w:szCs w:val="20"/>
              </w:rPr>
            </w:pPr>
            <w:r>
              <w:rPr>
                <w:rFonts w:ascii="Arial" w:hAnsi="Arial" w:cs="Arial"/>
                <w:b/>
                <w:bCs/>
                <w:sz w:val="20"/>
                <w:szCs w:val="20"/>
              </w:rPr>
              <w:t>4 434 091</w:t>
            </w:r>
          </w:p>
        </w:tc>
      </w:tr>
      <w:tr w:rsidR="00F8739B" w:rsidRPr="00B07D23" w:rsidTr="009924F9">
        <w:trPr>
          <w:trHeight w:val="248"/>
        </w:trPr>
        <w:tc>
          <w:tcPr>
            <w:tcW w:w="4312" w:type="dxa"/>
            <w:tcBorders>
              <w:top w:val="nil"/>
              <w:left w:val="single" w:sz="8" w:space="0" w:color="auto"/>
              <w:bottom w:val="single" w:sz="4" w:space="0" w:color="auto"/>
              <w:right w:val="single" w:sz="4" w:space="0" w:color="auto"/>
            </w:tcBorders>
            <w:shd w:val="clear" w:color="auto" w:fill="auto"/>
            <w:hideMark/>
          </w:tcPr>
          <w:p w:rsidR="00F8739B" w:rsidRDefault="00F8739B" w:rsidP="00F8739B">
            <w:pPr>
              <w:rPr>
                <w:rFonts w:ascii="Arial" w:hAnsi="Arial" w:cs="Arial"/>
                <w:sz w:val="16"/>
                <w:szCs w:val="16"/>
              </w:rPr>
            </w:pPr>
            <w:r>
              <w:rPr>
                <w:rFonts w:ascii="Arial" w:hAnsi="Arial" w:cs="Arial"/>
                <w:sz w:val="16"/>
                <w:szCs w:val="16"/>
              </w:rPr>
              <w:t xml:space="preserve">    sh kohustused, mille võrra võib ületada netovõlakoormuse piirmäära (arvestusüksuse väline)</w:t>
            </w:r>
          </w:p>
        </w:tc>
        <w:tc>
          <w:tcPr>
            <w:tcW w:w="1275" w:type="dxa"/>
            <w:tcBorders>
              <w:top w:val="nil"/>
              <w:left w:val="single" w:sz="4" w:space="0" w:color="auto"/>
              <w:bottom w:val="single" w:sz="4" w:space="0" w:color="auto"/>
              <w:right w:val="nil"/>
            </w:tcBorders>
            <w:shd w:val="clear" w:color="000000" w:fill="C0C0C0"/>
            <w:vAlign w:val="bottom"/>
            <w:hideMark/>
          </w:tcPr>
          <w:p w:rsidR="00F8739B" w:rsidRDefault="00F8739B" w:rsidP="00F8739B">
            <w:pPr>
              <w:jc w:val="right"/>
              <w:rPr>
                <w:rFonts w:ascii="Arial" w:hAnsi="Arial" w:cs="Arial"/>
                <w:sz w:val="20"/>
                <w:szCs w:val="20"/>
              </w:rPr>
            </w:pPr>
            <w:r>
              <w:rPr>
                <w:rFonts w:ascii="Arial" w:hAnsi="Arial" w:cs="Arial"/>
                <w:sz w:val="20"/>
                <w:szCs w:val="20"/>
              </w:rPr>
              <w:t>0</w:t>
            </w:r>
          </w:p>
        </w:tc>
        <w:tc>
          <w:tcPr>
            <w:tcW w:w="1160" w:type="dxa"/>
            <w:tcBorders>
              <w:top w:val="nil"/>
              <w:left w:val="single" w:sz="4" w:space="0" w:color="auto"/>
              <w:bottom w:val="single" w:sz="4" w:space="0" w:color="auto"/>
              <w:right w:val="nil"/>
            </w:tcBorders>
            <w:shd w:val="clear" w:color="000000" w:fill="C0C0C0"/>
            <w:vAlign w:val="bottom"/>
            <w:hideMark/>
          </w:tcPr>
          <w:p w:rsidR="00F8739B" w:rsidRDefault="00F8739B" w:rsidP="00F8739B">
            <w:pPr>
              <w:jc w:val="right"/>
              <w:rPr>
                <w:rFonts w:ascii="Arial" w:hAnsi="Arial" w:cs="Arial"/>
                <w:sz w:val="20"/>
                <w:szCs w:val="20"/>
              </w:rPr>
            </w:pPr>
            <w:r>
              <w:rPr>
                <w:rFonts w:ascii="Arial" w:hAnsi="Arial" w:cs="Arial"/>
                <w:sz w:val="20"/>
                <w:szCs w:val="20"/>
              </w:rPr>
              <w:t>0</w:t>
            </w:r>
          </w:p>
        </w:tc>
        <w:tc>
          <w:tcPr>
            <w:tcW w:w="1160" w:type="dxa"/>
            <w:tcBorders>
              <w:top w:val="nil"/>
              <w:left w:val="single" w:sz="4" w:space="0" w:color="auto"/>
              <w:bottom w:val="single" w:sz="4" w:space="0" w:color="auto"/>
              <w:right w:val="nil"/>
            </w:tcBorders>
            <w:shd w:val="clear" w:color="000000" w:fill="C0C0C0"/>
            <w:vAlign w:val="bottom"/>
            <w:hideMark/>
          </w:tcPr>
          <w:p w:rsidR="00F8739B" w:rsidRDefault="00F8739B" w:rsidP="00F8739B">
            <w:pPr>
              <w:jc w:val="right"/>
              <w:rPr>
                <w:rFonts w:ascii="Arial" w:hAnsi="Arial" w:cs="Arial"/>
                <w:sz w:val="20"/>
                <w:szCs w:val="20"/>
              </w:rPr>
            </w:pPr>
            <w:r>
              <w:rPr>
                <w:rFonts w:ascii="Arial" w:hAnsi="Arial" w:cs="Arial"/>
                <w:sz w:val="20"/>
                <w:szCs w:val="20"/>
              </w:rPr>
              <w:t>0</w:t>
            </w:r>
          </w:p>
        </w:tc>
        <w:tc>
          <w:tcPr>
            <w:tcW w:w="1160" w:type="dxa"/>
            <w:tcBorders>
              <w:top w:val="nil"/>
              <w:left w:val="single" w:sz="4" w:space="0" w:color="auto"/>
              <w:bottom w:val="single" w:sz="4" w:space="0" w:color="auto"/>
              <w:right w:val="nil"/>
            </w:tcBorders>
            <w:shd w:val="clear" w:color="000000" w:fill="C0C0C0"/>
            <w:vAlign w:val="bottom"/>
            <w:hideMark/>
          </w:tcPr>
          <w:p w:rsidR="00F8739B" w:rsidRDefault="00F8739B" w:rsidP="00F8739B">
            <w:pPr>
              <w:jc w:val="right"/>
              <w:rPr>
                <w:rFonts w:ascii="Arial" w:hAnsi="Arial" w:cs="Arial"/>
                <w:sz w:val="20"/>
                <w:szCs w:val="20"/>
              </w:rPr>
            </w:pPr>
            <w:r>
              <w:rPr>
                <w:rFonts w:ascii="Arial" w:hAnsi="Arial" w:cs="Arial"/>
                <w:sz w:val="20"/>
                <w:szCs w:val="20"/>
              </w:rPr>
              <w:t>0</w:t>
            </w:r>
          </w:p>
        </w:tc>
        <w:tc>
          <w:tcPr>
            <w:tcW w:w="1197" w:type="dxa"/>
            <w:tcBorders>
              <w:top w:val="nil"/>
              <w:left w:val="single" w:sz="4" w:space="0" w:color="auto"/>
              <w:bottom w:val="single" w:sz="4" w:space="0" w:color="auto"/>
              <w:right w:val="single" w:sz="8" w:space="0" w:color="auto"/>
            </w:tcBorders>
            <w:shd w:val="clear" w:color="000000" w:fill="C0C0C0"/>
            <w:vAlign w:val="bottom"/>
            <w:hideMark/>
          </w:tcPr>
          <w:p w:rsidR="00F8739B" w:rsidRDefault="00F8739B" w:rsidP="00F8739B">
            <w:pPr>
              <w:jc w:val="right"/>
              <w:rPr>
                <w:rFonts w:ascii="Arial" w:hAnsi="Arial" w:cs="Arial"/>
                <w:sz w:val="20"/>
                <w:szCs w:val="20"/>
              </w:rPr>
            </w:pPr>
            <w:r>
              <w:rPr>
                <w:rFonts w:ascii="Arial" w:hAnsi="Arial" w:cs="Arial"/>
                <w:sz w:val="20"/>
                <w:szCs w:val="20"/>
              </w:rPr>
              <w:t>0</w:t>
            </w:r>
          </w:p>
        </w:tc>
      </w:tr>
      <w:tr w:rsidR="00F8739B" w:rsidRPr="00B07D23" w:rsidTr="00FA1C99">
        <w:trPr>
          <w:trHeight w:val="248"/>
        </w:trPr>
        <w:tc>
          <w:tcPr>
            <w:tcW w:w="4312" w:type="dxa"/>
            <w:tcBorders>
              <w:top w:val="nil"/>
              <w:left w:val="single" w:sz="8" w:space="0" w:color="auto"/>
              <w:bottom w:val="single" w:sz="4" w:space="0" w:color="auto"/>
              <w:right w:val="single" w:sz="4" w:space="0" w:color="auto"/>
            </w:tcBorders>
            <w:shd w:val="clear" w:color="auto" w:fill="auto"/>
            <w:vAlign w:val="bottom"/>
            <w:hideMark/>
          </w:tcPr>
          <w:p w:rsidR="00F8739B" w:rsidRDefault="00F8739B" w:rsidP="00F8739B">
            <w:pPr>
              <w:rPr>
                <w:rFonts w:ascii="Arial" w:hAnsi="Arial" w:cs="Arial"/>
                <w:b/>
                <w:bCs/>
                <w:sz w:val="20"/>
                <w:szCs w:val="20"/>
              </w:rPr>
            </w:pPr>
            <w:r>
              <w:rPr>
                <w:rFonts w:ascii="Arial" w:hAnsi="Arial" w:cs="Arial"/>
                <w:b/>
                <w:bCs/>
                <w:sz w:val="20"/>
                <w:szCs w:val="20"/>
              </w:rPr>
              <w:t>Netovõlakoormus (eurodes)</w:t>
            </w:r>
          </w:p>
        </w:tc>
        <w:tc>
          <w:tcPr>
            <w:tcW w:w="1275" w:type="dxa"/>
            <w:tcBorders>
              <w:top w:val="nil"/>
              <w:left w:val="nil"/>
              <w:bottom w:val="single" w:sz="4" w:space="0" w:color="auto"/>
              <w:right w:val="single" w:sz="4" w:space="0" w:color="auto"/>
            </w:tcBorders>
            <w:shd w:val="clear" w:color="000000" w:fill="C0C0C0"/>
            <w:vAlign w:val="bottom"/>
            <w:hideMark/>
          </w:tcPr>
          <w:p w:rsidR="00F8739B" w:rsidRDefault="00F8739B" w:rsidP="00F8739B">
            <w:pPr>
              <w:jc w:val="right"/>
              <w:rPr>
                <w:rFonts w:ascii="Arial" w:hAnsi="Arial" w:cs="Arial"/>
                <w:sz w:val="20"/>
                <w:szCs w:val="20"/>
              </w:rPr>
            </w:pPr>
            <w:r>
              <w:rPr>
                <w:rFonts w:ascii="Arial" w:hAnsi="Arial" w:cs="Arial"/>
                <w:sz w:val="20"/>
                <w:szCs w:val="20"/>
              </w:rPr>
              <w:t>2 914 279</w:t>
            </w:r>
          </w:p>
        </w:tc>
        <w:tc>
          <w:tcPr>
            <w:tcW w:w="1160" w:type="dxa"/>
            <w:tcBorders>
              <w:top w:val="nil"/>
              <w:left w:val="nil"/>
              <w:bottom w:val="single" w:sz="4" w:space="0" w:color="auto"/>
              <w:right w:val="single" w:sz="4" w:space="0" w:color="auto"/>
            </w:tcBorders>
            <w:shd w:val="clear" w:color="000000" w:fill="C0C0C0"/>
            <w:vAlign w:val="bottom"/>
            <w:hideMark/>
          </w:tcPr>
          <w:p w:rsidR="00F8739B" w:rsidRDefault="00F8739B" w:rsidP="00F8739B">
            <w:pPr>
              <w:jc w:val="right"/>
              <w:rPr>
                <w:rFonts w:ascii="Arial" w:hAnsi="Arial" w:cs="Arial"/>
                <w:sz w:val="20"/>
                <w:szCs w:val="20"/>
              </w:rPr>
            </w:pPr>
            <w:r>
              <w:rPr>
                <w:rFonts w:ascii="Arial" w:hAnsi="Arial" w:cs="Arial"/>
                <w:sz w:val="20"/>
                <w:szCs w:val="20"/>
              </w:rPr>
              <w:t>4 507 552</w:t>
            </w:r>
          </w:p>
        </w:tc>
        <w:tc>
          <w:tcPr>
            <w:tcW w:w="1160" w:type="dxa"/>
            <w:tcBorders>
              <w:top w:val="nil"/>
              <w:left w:val="nil"/>
              <w:bottom w:val="single" w:sz="4" w:space="0" w:color="auto"/>
              <w:right w:val="single" w:sz="4" w:space="0" w:color="auto"/>
            </w:tcBorders>
            <w:shd w:val="clear" w:color="000000" w:fill="C0C0C0"/>
            <w:vAlign w:val="bottom"/>
            <w:hideMark/>
          </w:tcPr>
          <w:p w:rsidR="00F8739B" w:rsidRDefault="00F8739B" w:rsidP="00F8739B">
            <w:pPr>
              <w:jc w:val="right"/>
              <w:rPr>
                <w:rFonts w:ascii="Arial" w:hAnsi="Arial" w:cs="Arial"/>
                <w:sz w:val="20"/>
                <w:szCs w:val="20"/>
              </w:rPr>
            </w:pPr>
            <w:r>
              <w:rPr>
                <w:rFonts w:ascii="Arial" w:hAnsi="Arial" w:cs="Arial"/>
                <w:sz w:val="20"/>
                <w:szCs w:val="20"/>
              </w:rPr>
              <w:t>5 178 701</w:t>
            </w:r>
          </w:p>
        </w:tc>
        <w:tc>
          <w:tcPr>
            <w:tcW w:w="1160" w:type="dxa"/>
            <w:tcBorders>
              <w:top w:val="nil"/>
              <w:left w:val="nil"/>
              <w:bottom w:val="single" w:sz="4" w:space="0" w:color="auto"/>
              <w:right w:val="single" w:sz="4" w:space="0" w:color="auto"/>
            </w:tcBorders>
            <w:shd w:val="clear" w:color="000000" w:fill="C0C0C0"/>
            <w:vAlign w:val="bottom"/>
            <w:hideMark/>
          </w:tcPr>
          <w:p w:rsidR="00F8739B" w:rsidRDefault="00F8739B" w:rsidP="00F8739B">
            <w:pPr>
              <w:jc w:val="right"/>
              <w:rPr>
                <w:rFonts w:ascii="Arial" w:hAnsi="Arial" w:cs="Arial"/>
                <w:sz w:val="20"/>
                <w:szCs w:val="20"/>
              </w:rPr>
            </w:pPr>
            <w:r>
              <w:rPr>
                <w:rFonts w:ascii="Arial" w:hAnsi="Arial" w:cs="Arial"/>
                <w:sz w:val="20"/>
                <w:szCs w:val="20"/>
              </w:rPr>
              <w:t>4 744 171</w:t>
            </w:r>
          </w:p>
        </w:tc>
        <w:tc>
          <w:tcPr>
            <w:tcW w:w="1197" w:type="dxa"/>
            <w:tcBorders>
              <w:top w:val="nil"/>
              <w:left w:val="nil"/>
              <w:bottom w:val="single" w:sz="4" w:space="0" w:color="auto"/>
              <w:right w:val="single" w:sz="8" w:space="0" w:color="auto"/>
            </w:tcBorders>
            <w:shd w:val="clear" w:color="000000" w:fill="C0C0C0"/>
            <w:vAlign w:val="bottom"/>
            <w:hideMark/>
          </w:tcPr>
          <w:p w:rsidR="00F8739B" w:rsidRDefault="00F8739B" w:rsidP="00F8739B">
            <w:pPr>
              <w:jc w:val="right"/>
              <w:rPr>
                <w:rFonts w:ascii="Arial" w:hAnsi="Arial" w:cs="Arial"/>
                <w:sz w:val="20"/>
                <w:szCs w:val="20"/>
              </w:rPr>
            </w:pPr>
            <w:r>
              <w:rPr>
                <w:rFonts w:ascii="Arial" w:hAnsi="Arial" w:cs="Arial"/>
                <w:sz w:val="20"/>
                <w:szCs w:val="20"/>
              </w:rPr>
              <w:t>4 261 586</w:t>
            </w:r>
          </w:p>
        </w:tc>
      </w:tr>
      <w:tr w:rsidR="00F8739B" w:rsidRPr="00B07D23" w:rsidTr="00FA1C99">
        <w:trPr>
          <w:trHeight w:val="248"/>
        </w:trPr>
        <w:tc>
          <w:tcPr>
            <w:tcW w:w="4312" w:type="dxa"/>
            <w:tcBorders>
              <w:top w:val="nil"/>
              <w:left w:val="single" w:sz="8" w:space="0" w:color="auto"/>
              <w:bottom w:val="single" w:sz="4" w:space="0" w:color="auto"/>
              <w:right w:val="single" w:sz="4" w:space="0" w:color="auto"/>
            </w:tcBorders>
            <w:shd w:val="clear" w:color="auto" w:fill="auto"/>
            <w:vAlign w:val="bottom"/>
            <w:hideMark/>
          </w:tcPr>
          <w:p w:rsidR="00F8739B" w:rsidRDefault="00F8739B" w:rsidP="00F8739B">
            <w:pPr>
              <w:rPr>
                <w:rFonts w:ascii="Arial" w:hAnsi="Arial" w:cs="Arial"/>
                <w:b/>
                <w:bCs/>
                <w:sz w:val="20"/>
                <w:szCs w:val="20"/>
              </w:rPr>
            </w:pPr>
            <w:r>
              <w:rPr>
                <w:rFonts w:ascii="Arial" w:hAnsi="Arial" w:cs="Arial"/>
                <w:b/>
                <w:bCs/>
                <w:sz w:val="20"/>
                <w:szCs w:val="20"/>
              </w:rPr>
              <w:t>Netovõlakoormus (%)</w:t>
            </w:r>
          </w:p>
        </w:tc>
        <w:tc>
          <w:tcPr>
            <w:tcW w:w="1275" w:type="dxa"/>
            <w:tcBorders>
              <w:top w:val="nil"/>
              <w:left w:val="nil"/>
              <w:bottom w:val="single" w:sz="4" w:space="0" w:color="auto"/>
              <w:right w:val="single" w:sz="4" w:space="0" w:color="auto"/>
            </w:tcBorders>
            <w:shd w:val="clear" w:color="000000" w:fill="C0C0C0"/>
            <w:vAlign w:val="bottom"/>
            <w:hideMark/>
          </w:tcPr>
          <w:p w:rsidR="00F8739B" w:rsidRDefault="00F8739B" w:rsidP="00F8739B">
            <w:pPr>
              <w:jc w:val="right"/>
              <w:rPr>
                <w:rFonts w:ascii="Arial" w:hAnsi="Arial" w:cs="Arial"/>
                <w:sz w:val="20"/>
                <w:szCs w:val="20"/>
              </w:rPr>
            </w:pPr>
            <w:r>
              <w:rPr>
                <w:rFonts w:ascii="Arial" w:hAnsi="Arial" w:cs="Arial"/>
                <w:sz w:val="20"/>
                <w:szCs w:val="20"/>
              </w:rPr>
              <w:t>24,5%</w:t>
            </w:r>
          </w:p>
        </w:tc>
        <w:tc>
          <w:tcPr>
            <w:tcW w:w="1160" w:type="dxa"/>
            <w:tcBorders>
              <w:top w:val="nil"/>
              <w:left w:val="nil"/>
              <w:bottom w:val="single" w:sz="4" w:space="0" w:color="auto"/>
              <w:right w:val="single" w:sz="4" w:space="0" w:color="auto"/>
            </w:tcBorders>
            <w:shd w:val="clear" w:color="000000" w:fill="C0C0C0"/>
            <w:vAlign w:val="bottom"/>
            <w:hideMark/>
          </w:tcPr>
          <w:p w:rsidR="00F8739B" w:rsidRDefault="00F8739B" w:rsidP="00F8739B">
            <w:pPr>
              <w:jc w:val="right"/>
              <w:rPr>
                <w:rFonts w:ascii="Arial" w:hAnsi="Arial" w:cs="Arial"/>
                <w:sz w:val="20"/>
                <w:szCs w:val="20"/>
              </w:rPr>
            </w:pPr>
            <w:r>
              <w:rPr>
                <w:rFonts w:ascii="Arial" w:hAnsi="Arial" w:cs="Arial"/>
                <w:sz w:val="20"/>
                <w:szCs w:val="20"/>
              </w:rPr>
              <w:t>35,7%</w:t>
            </w:r>
          </w:p>
        </w:tc>
        <w:tc>
          <w:tcPr>
            <w:tcW w:w="1160" w:type="dxa"/>
            <w:tcBorders>
              <w:top w:val="nil"/>
              <w:left w:val="nil"/>
              <w:bottom w:val="single" w:sz="4" w:space="0" w:color="auto"/>
              <w:right w:val="single" w:sz="4" w:space="0" w:color="auto"/>
            </w:tcBorders>
            <w:shd w:val="clear" w:color="000000" w:fill="C0C0C0"/>
            <w:vAlign w:val="bottom"/>
            <w:hideMark/>
          </w:tcPr>
          <w:p w:rsidR="00F8739B" w:rsidRDefault="00F8739B" w:rsidP="00F8739B">
            <w:pPr>
              <w:jc w:val="right"/>
              <w:rPr>
                <w:rFonts w:ascii="Arial" w:hAnsi="Arial" w:cs="Arial"/>
                <w:sz w:val="20"/>
                <w:szCs w:val="20"/>
              </w:rPr>
            </w:pPr>
            <w:r>
              <w:rPr>
                <w:rFonts w:ascii="Arial" w:hAnsi="Arial" w:cs="Arial"/>
                <w:sz w:val="20"/>
                <w:szCs w:val="20"/>
              </w:rPr>
              <w:t>39,7%</w:t>
            </w:r>
          </w:p>
        </w:tc>
        <w:tc>
          <w:tcPr>
            <w:tcW w:w="1160" w:type="dxa"/>
            <w:tcBorders>
              <w:top w:val="nil"/>
              <w:left w:val="nil"/>
              <w:bottom w:val="single" w:sz="4" w:space="0" w:color="auto"/>
              <w:right w:val="single" w:sz="4" w:space="0" w:color="auto"/>
            </w:tcBorders>
            <w:shd w:val="clear" w:color="000000" w:fill="C0C0C0"/>
            <w:vAlign w:val="bottom"/>
            <w:hideMark/>
          </w:tcPr>
          <w:p w:rsidR="00F8739B" w:rsidRDefault="00F8739B" w:rsidP="00F8739B">
            <w:pPr>
              <w:jc w:val="right"/>
              <w:rPr>
                <w:rFonts w:ascii="Arial" w:hAnsi="Arial" w:cs="Arial"/>
                <w:sz w:val="20"/>
                <w:szCs w:val="20"/>
              </w:rPr>
            </w:pPr>
            <w:r>
              <w:rPr>
                <w:rFonts w:ascii="Arial" w:hAnsi="Arial" w:cs="Arial"/>
                <w:sz w:val="20"/>
                <w:szCs w:val="20"/>
              </w:rPr>
              <w:t>35,2%</w:t>
            </w:r>
          </w:p>
        </w:tc>
        <w:tc>
          <w:tcPr>
            <w:tcW w:w="1197" w:type="dxa"/>
            <w:tcBorders>
              <w:top w:val="nil"/>
              <w:left w:val="nil"/>
              <w:bottom w:val="single" w:sz="4" w:space="0" w:color="auto"/>
              <w:right w:val="single" w:sz="8" w:space="0" w:color="auto"/>
            </w:tcBorders>
            <w:shd w:val="clear" w:color="000000" w:fill="C0C0C0"/>
            <w:vAlign w:val="bottom"/>
            <w:hideMark/>
          </w:tcPr>
          <w:p w:rsidR="00F8739B" w:rsidRDefault="00F8739B" w:rsidP="00F8739B">
            <w:pPr>
              <w:jc w:val="right"/>
              <w:rPr>
                <w:rFonts w:ascii="Arial" w:hAnsi="Arial" w:cs="Arial"/>
                <w:sz w:val="20"/>
                <w:szCs w:val="20"/>
              </w:rPr>
            </w:pPr>
            <w:r>
              <w:rPr>
                <w:rFonts w:ascii="Arial" w:hAnsi="Arial" w:cs="Arial"/>
                <w:sz w:val="20"/>
                <w:szCs w:val="20"/>
              </w:rPr>
              <w:t>30,6%</w:t>
            </w:r>
          </w:p>
        </w:tc>
      </w:tr>
      <w:tr w:rsidR="00F8739B" w:rsidRPr="00B07D23" w:rsidTr="00FA1C99">
        <w:trPr>
          <w:trHeight w:val="248"/>
        </w:trPr>
        <w:tc>
          <w:tcPr>
            <w:tcW w:w="4312" w:type="dxa"/>
            <w:tcBorders>
              <w:top w:val="nil"/>
              <w:left w:val="single" w:sz="8" w:space="0" w:color="auto"/>
              <w:bottom w:val="single" w:sz="4" w:space="0" w:color="auto"/>
              <w:right w:val="single" w:sz="4" w:space="0" w:color="auto"/>
            </w:tcBorders>
            <w:shd w:val="clear" w:color="auto" w:fill="auto"/>
            <w:vAlign w:val="bottom"/>
            <w:hideMark/>
          </w:tcPr>
          <w:p w:rsidR="00F8739B" w:rsidRDefault="00F8739B" w:rsidP="00F8739B">
            <w:pPr>
              <w:rPr>
                <w:rFonts w:ascii="Arial" w:hAnsi="Arial" w:cs="Arial"/>
                <w:b/>
                <w:bCs/>
                <w:sz w:val="20"/>
                <w:szCs w:val="20"/>
              </w:rPr>
            </w:pPr>
            <w:r>
              <w:rPr>
                <w:rFonts w:ascii="Arial" w:hAnsi="Arial" w:cs="Arial"/>
                <w:b/>
                <w:bCs/>
                <w:sz w:val="20"/>
                <w:szCs w:val="20"/>
              </w:rPr>
              <w:t>Netovõlakoormuse ülemmäär (eurodes)</w:t>
            </w:r>
          </w:p>
        </w:tc>
        <w:tc>
          <w:tcPr>
            <w:tcW w:w="1275" w:type="dxa"/>
            <w:tcBorders>
              <w:top w:val="nil"/>
              <w:left w:val="nil"/>
              <w:bottom w:val="single" w:sz="4" w:space="0" w:color="auto"/>
              <w:right w:val="single" w:sz="4" w:space="0" w:color="auto"/>
            </w:tcBorders>
            <w:shd w:val="clear" w:color="000000" w:fill="C0C0C0"/>
            <w:vAlign w:val="bottom"/>
            <w:hideMark/>
          </w:tcPr>
          <w:p w:rsidR="00F8739B" w:rsidRDefault="00F8739B" w:rsidP="00F8739B">
            <w:pPr>
              <w:jc w:val="right"/>
              <w:rPr>
                <w:rFonts w:ascii="Arial" w:hAnsi="Arial" w:cs="Arial"/>
                <w:sz w:val="20"/>
                <w:szCs w:val="20"/>
              </w:rPr>
            </w:pPr>
            <w:r>
              <w:rPr>
                <w:rFonts w:ascii="Arial" w:hAnsi="Arial" w:cs="Arial"/>
                <w:sz w:val="20"/>
                <w:szCs w:val="20"/>
              </w:rPr>
              <w:t>7 145 244</w:t>
            </w:r>
          </w:p>
        </w:tc>
        <w:tc>
          <w:tcPr>
            <w:tcW w:w="1160" w:type="dxa"/>
            <w:tcBorders>
              <w:top w:val="nil"/>
              <w:left w:val="nil"/>
              <w:bottom w:val="single" w:sz="4" w:space="0" w:color="auto"/>
              <w:right w:val="single" w:sz="4" w:space="0" w:color="auto"/>
            </w:tcBorders>
            <w:shd w:val="clear" w:color="000000" w:fill="C0C0C0"/>
            <w:vAlign w:val="bottom"/>
            <w:hideMark/>
          </w:tcPr>
          <w:p w:rsidR="00F8739B" w:rsidRDefault="00F8739B" w:rsidP="00F8739B">
            <w:pPr>
              <w:jc w:val="right"/>
              <w:rPr>
                <w:rFonts w:ascii="Arial" w:hAnsi="Arial" w:cs="Arial"/>
                <w:sz w:val="20"/>
                <w:szCs w:val="20"/>
              </w:rPr>
            </w:pPr>
            <w:r>
              <w:rPr>
                <w:rFonts w:ascii="Arial" w:hAnsi="Arial" w:cs="Arial"/>
                <w:sz w:val="20"/>
                <w:szCs w:val="20"/>
              </w:rPr>
              <w:t>7 572 595</w:t>
            </w:r>
          </w:p>
        </w:tc>
        <w:tc>
          <w:tcPr>
            <w:tcW w:w="1160" w:type="dxa"/>
            <w:tcBorders>
              <w:top w:val="nil"/>
              <w:left w:val="nil"/>
              <w:bottom w:val="single" w:sz="4" w:space="0" w:color="auto"/>
              <w:right w:val="single" w:sz="4" w:space="0" w:color="auto"/>
            </w:tcBorders>
            <w:shd w:val="clear" w:color="000000" w:fill="C0C0C0"/>
            <w:vAlign w:val="bottom"/>
            <w:hideMark/>
          </w:tcPr>
          <w:p w:rsidR="00F8739B" w:rsidRDefault="00F8739B" w:rsidP="00F8739B">
            <w:pPr>
              <w:jc w:val="right"/>
              <w:rPr>
                <w:rFonts w:ascii="Arial" w:hAnsi="Arial" w:cs="Arial"/>
                <w:sz w:val="20"/>
                <w:szCs w:val="20"/>
              </w:rPr>
            </w:pPr>
            <w:r>
              <w:rPr>
                <w:rFonts w:ascii="Arial" w:hAnsi="Arial" w:cs="Arial"/>
                <w:sz w:val="20"/>
                <w:szCs w:val="20"/>
              </w:rPr>
              <w:t>7 822 531</w:t>
            </w:r>
          </w:p>
        </w:tc>
        <w:tc>
          <w:tcPr>
            <w:tcW w:w="1160" w:type="dxa"/>
            <w:tcBorders>
              <w:top w:val="nil"/>
              <w:left w:val="nil"/>
              <w:bottom w:val="single" w:sz="4" w:space="0" w:color="auto"/>
              <w:right w:val="single" w:sz="4" w:space="0" w:color="auto"/>
            </w:tcBorders>
            <w:shd w:val="clear" w:color="000000" w:fill="C0C0C0"/>
            <w:vAlign w:val="bottom"/>
            <w:hideMark/>
          </w:tcPr>
          <w:p w:rsidR="00F8739B" w:rsidRDefault="00F8739B" w:rsidP="00F8739B">
            <w:pPr>
              <w:jc w:val="right"/>
              <w:rPr>
                <w:rFonts w:ascii="Arial" w:hAnsi="Arial" w:cs="Arial"/>
                <w:sz w:val="20"/>
                <w:szCs w:val="20"/>
              </w:rPr>
            </w:pPr>
            <w:r>
              <w:rPr>
                <w:rFonts w:ascii="Arial" w:hAnsi="Arial" w:cs="Arial"/>
                <w:sz w:val="20"/>
                <w:szCs w:val="20"/>
              </w:rPr>
              <w:t>8 081 056</w:t>
            </w:r>
          </w:p>
        </w:tc>
        <w:tc>
          <w:tcPr>
            <w:tcW w:w="1197" w:type="dxa"/>
            <w:tcBorders>
              <w:top w:val="nil"/>
              <w:left w:val="nil"/>
              <w:bottom w:val="single" w:sz="4" w:space="0" w:color="auto"/>
              <w:right w:val="single" w:sz="8" w:space="0" w:color="auto"/>
            </w:tcBorders>
            <w:shd w:val="clear" w:color="000000" w:fill="C0C0C0"/>
            <w:vAlign w:val="bottom"/>
            <w:hideMark/>
          </w:tcPr>
          <w:p w:rsidR="00F8739B" w:rsidRDefault="00F8739B" w:rsidP="00F8739B">
            <w:pPr>
              <w:jc w:val="right"/>
              <w:rPr>
                <w:rFonts w:ascii="Arial" w:hAnsi="Arial" w:cs="Arial"/>
                <w:sz w:val="20"/>
                <w:szCs w:val="20"/>
              </w:rPr>
            </w:pPr>
            <w:r>
              <w:rPr>
                <w:rFonts w:ascii="Arial" w:hAnsi="Arial" w:cs="Arial"/>
                <w:sz w:val="20"/>
                <w:szCs w:val="20"/>
              </w:rPr>
              <w:t>8 344 079</w:t>
            </w:r>
          </w:p>
        </w:tc>
      </w:tr>
      <w:tr w:rsidR="00F8739B" w:rsidRPr="00B07D23" w:rsidTr="00FA1C99">
        <w:trPr>
          <w:trHeight w:val="262"/>
        </w:trPr>
        <w:tc>
          <w:tcPr>
            <w:tcW w:w="4312" w:type="dxa"/>
            <w:tcBorders>
              <w:top w:val="nil"/>
              <w:left w:val="single" w:sz="8" w:space="0" w:color="auto"/>
              <w:bottom w:val="single" w:sz="8" w:space="0" w:color="auto"/>
              <w:right w:val="single" w:sz="4" w:space="0" w:color="auto"/>
            </w:tcBorders>
            <w:shd w:val="clear" w:color="auto" w:fill="auto"/>
            <w:vAlign w:val="bottom"/>
            <w:hideMark/>
          </w:tcPr>
          <w:p w:rsidR="00F8739B" w:rsidRDefault="00F8739B" w:rsidP="00F8739B">
            <w:pPr>
              <w:rPr>
                <w:rFonts w:ascii="Arial" w:hAnsi="Arial" w:cs="Arial"/>
                <w:b/>
                <w:bCs/>
                <w:sz w:val="20"/>
                <w:szCs w:val="20"/>
              </w:rPr>
            </w:pPr>
            <w:r>
              <w:rPr>
                <w:rFonts w:ascii="Arial" w:hAnsi="Arial" w:cs="Arial"/>
                <w:b/>
                <w:bCs/>
                <w:sz w:val="20"/>
                <w:szCs w:val="20"/>
              </w:rPr>
              <w:t>Netovõlakoormuse ülemmäär (%)</w:t>
            </w:r>
          </w:p>
        </w:tc>
        <w:tc>
          <w:tcPr>
            <w:tcW w:w="1275" w:type="dxa"/>
            <w:tcBorders>
              <w:top w:val="nil"/>
              <w:left w:val="nil"/>
              <w:bottom w:val="single" w:sz="8" w:space="0" w:color="auto"/>
              <w:right w:val="single" w:sz="4" w:space="0" w:color="auto"/>
            </w:tcBorders>
            <w:shd w:val="clear" w:color="000000" w:fill="C0C0C0"/>
            <w:vAlign w:val="bottom"/>
            <w:hideMark/>
          </w:tcPr>
          <w:p w:rsidR="00F8739B" w:rsidRDefault="00F8739B" w:rsidP="00F8739B">
            <w:pPr>
              <w:jc w:val="right"/>
              <w:rPr>
                <w:rFonts w:ascii="Arial" w:hAnsi="Arial" w:cs="Arial"/>
                <w:sz w:val="20"/>
                <w:szCs w:val="20"/>
              </w:rPr>
            </w:pPr>
            <w:r>
              <w:rPr>
                <w:rFonts w:ascii="Arial" w:hAnsi="Arial" w:cs="Arial"/>
                <w:sz w:val="20"/>
                <w:szCs w:val="20"/>
              </w:rPr>
              <w:t>60,0%</w:t>
            </w:r>
          </w:p>
        </w:tc>
        <w:tc>
          <w:tcPr>
            <w:tcW w:w="1160" w:type="dxa"/>
            <w:tcBorders>
              <w:top w:val="nil"/>
              <w:left w:val="nil"/>
              <w:bottom w:val="single" w:sz="8" w:space="0" w:color="auto"/>
              <w:right w:val="single" w:sz="4" w:space="0" w:color="auto"/>
            </w:tcBorders>
            <w:shd w:val="clear" w:color="000000" w:fill="C0C0C0"/>
            <w:vAlign w:val="bottom"/>
            <w:hideMark/>
          </w:tcPr>
          <w:p w:rsidR="00F8739B" w:rsidRDefault="00F8739B" w:rsidP="00F8739B">
            <w:pPr>
              <w:jc w:val="right"/>
              <w:rPr>
                <w:rFonts w:ascii="Arial" w:hAnsi="Arial" w:cs="Arial"/>
                <w:sz w:val="20"/>
                <w:szCs w:val="20"/>
              </w:rPr>
            </w:pPr>
            <w:r>
              <w:rPr>
                <w:rFonts w:ascii="Arial" w:hAnsi="Arial" w:cs="Arial"/>
                <w:sz w:val="20"/>
                <w:szCs w:val="20"/>
              </w:rPr>
              <w:t>60,0%</w:t>
            </w:r>
          </w:p>
        </w:tc>
        <w:tc>
          <w:tcPr>
            <w:tcW w:w="1160" w:type="dxa"/>
            <w:tcBorders>
              <w:top w:val="nil"/>
              <w:left w:val="nil"/>
              <w:bottom w:val="single" w:sz="8" w:space="0" w:color="auto"/>
              <w:right w:val="single" w:sz="4" w:space="0" w:color="auto"/>
            </w:tcBorders>
            <w:shd w:val="clear" w:color="000000" w:fill="C0C0C0"/>
            <w:vAlign w:val="bottom"/>
            <w:hideMark/>
          </w:tcPr>
          <w:p w:rsidR="00F8739B" w:rsidRDefault="00F8739B" w:rsidP="00F8739B">
            <w:pPr>
              <w:jc w:val="right"/>
              <w:rPr>
                <w:rFonts w:ascii="Arial" w:hAnsi="Arial" w:cs="Arial"/>
                <w:sz w:val="20"/>
                <w:szCs w:val="20"/>
              </w:rPr>
            </w:pPr>
            <w:r>
              <w:rPr>
                <w:rFonts w:ascii="Arial" w:hAnsi="Arial" w:cs="Arial"/>
                <w:sz w:val="20"/>
                <w:szCs w:val="20"/>
              </w:rPr>
              <w:t>60,0%</w:t>
            </w:r>
          </w:p>
        </w:tc>
        <w:tc>
          <w:tcPr>
            <w:tcW w:w="1160" w:type="dxa"/>
            <w:tcBorders>
              <w:top w:val="nil"/>
              <w:left w:val="nil"/>
              <w:bottom w:val="single" w:sz="8" w:space="0" w:color="auto"/>
              <w:right w:val="single" w:sz="4" w:space="0" w:color="auto"/>
            </w:tcBorders>
            <w:shd w:val="clear" w:color="000000" w:fill="C0C0C0"/>
            <w:vAlign w:val="bottom"/>
            <w:hideMark/>
          </w:tcPr>
          <w:p w:rsidR="00F8739B" w:rsidRDefault="00F8739B" w:rsidP="00F8739B">
            <w:pPr>
              <w:jc w:val="right"/>
              <w:rPr>
                <w:rFonts w:ascii="Arial" w:hAnsi="Arial" w:cs="Arial"/>
                <w:sz w:val="20"/>
                <w:szCs w:val="20"/>
              </w:rPr>
            </w:pPr>
            <w:r>
              <w:rPr>
                <w:rFonts w:ascii="Arial" w:hAnsi="Arial" w:cs="Arial"/>
                <w:sz w:val="20"/>
                <w:szCs w:val="20"/>
              </w:rPr>
              <w:t>60,0%</w:t>
            </w:r>
          </w:p>
        </w:tc>
        <w:tc>
          <w:tcPr>
            <w:tcW w:w="1197" w:type="dxa"/>
            <w:tcBorders>
              <w:top w:val="nil"/>
              <w:left w:val="nil"/>
              <w:bottom w:val="single" w:sz="8" w:space="0" w:color="auto"/>
              <w:right w:val="single" w:sz="8" w:space="0" w:color="auto"/>
            </w:tcBorders>
            <w:shd w:val="clear" w:color="000000" w:fill="C0C0C0"/>
            <w:vAlign w:val="bottom"/>
            <w:hideMark/>
          </w:tcPr>
          <w:p w:rsidR="00F8739B" w:rsidRDefault="00F8739B" w:rsidP="00F8739B">
            <w:pPr>
              <w:jc w:val="right"/>
              <w:rPr>
                <w:rFonts w:ascii="Arial" w:hAnsi="Arial" w:cs="Arial"/>
                <w:sz w:val="20"/>
                <w:szCs w:val="20"/>
              </w:rPr>
            </w:pPr>
            <w:r>
              <w:rPr>
                <w:rFonts w:ascii="Arial" w:hAnsi="Arial" w:cs="Arial"/>
                <w:sz w:val="20"/>
                <w:szCs w:val="20"/>
              </w:rPr>
              <w:t>60,0%</w:t>
            </w:r>
          </w:p>
        </w:tc>
      </w:tr>
    </w:tbl>
    <w:p w:rsidR="0015450A" w:rsidRPr="0015450A" w:rsidRDefault="0015450A" w:rsidP="0015450A">
      <w:pPr>
        <w:jc w:val="both"/>
        <w:rPr>
          <w:sz w:val="24"/>
          <w:szCs w:val="24"/>
        </w:rPr>
      </w:pPr>
    </w:p>
    <w:p w:rsidR="002E13C2" w:rsidRDefault="00BF1CE1" w:rsidP="0015450A">
      <w:pPr>
        <w:jc w:val="both"/>
        <w:rPr>
          <w:sz w:val="24"/>
          <w:szCs w:val="24"/>
        </w:rPr>
      </w:pPr>
      <w:proofErr w:type="spellStart"/>
      <w:r w:rsidRPr="0015450A">
        <w:rPr>
          <w:sz w:val="24"/>
          <w:szCs w:val="24"/>
        </w:rPr>
        <w:t>Keskpika</w:t>
      </w:r>
      <w:proofErr w:type="spellEnd"/>
      <w:r w:rsidRPr="0015450A">
        <w:rPr>
          <w:sz w:val="24"/>
          <w:szCs w:val="24"/>
        </w:rPr>
        <w:t xml:space="preserve"> planeerimise eesmärgiks on suurendada eelarveprotsessi stabiilsust ning tagada </w:t>
      </w:r>
      <w:r w:rsidR="002E13C2" w:rsidRPr="0015450A">
        <w:rPr>
          <w:sz w:val="24"/>
          <w:szCs w:val="24"/>
        </w:rPr>
        <w:t>valla</w:t>
      </w:r>
      <w:r w:rsidRPr="0015450A">
        <w:rPr>
          <w:sz w:val="24"/>
          <w:szCs w:val="24"/>
        </w:rPr>
        <w:t xml:space="preserve"> vahendite sihipärane ja efektiivsem kasutamine. </w:t>
      </w:r>
      <w:r w:rsidR="002E13C2" w:rsidRPr="0015450A">
        <w:rPr>
          <w:sz w:val="24"/>
          <w:szCs w:val="24"/>
        </w:rPr>
        <w:t>Vinni vald j</w:t>
      </w:r>
      <w:r w:rsidRPr="0015450A">
        <w:rPr>
          <w:sz w:val="24"/>
          <w:szCs w:val="24"/>
        </w:rPr>
        <w:t xml:space="preserve">a sõltuvad üksused on finantssituatsioonis, kus peamine tähelepanu on kulude pideval jälgimisel ning olemasolevate laenude tagasimaksmisel. Lähimate aastate eesmärgiks on </w:t>
      </w:r>
      <w:r w:rsidR="002E13C2" w:rsidRPr="0015450A">
        <w:rPr>
          <w:sz w:val="24"/>
          <w:szCs w:val="24"/>
        </w:rPr>
        <w:t>valla</w:t>
      </w:r>
      <w:r w:rsidRPr="0015450A">
        <w:rPr>
          <w:sz w:val="24"/>
          <w:szCs w:val="24"/>
        </w:rPr>
        <w:t xml:space="preserve"> elanikele vähemalt senisel tasemel avalike teenuste tagamine ning abivajajatele toimetuleku kindlustamine. </w:t>
      </w:r>
      <w:r w:rsidR="002E13C2" w:rsidRPr="0015450A">
        <w:rPr>
          <w:sz w:val="24"/>
          <w:szCs w:val="24"/>
        </w:rPr>
        <w:t>Vinni vald ning valla</w:t>
      </w:r>
      <w:r w:rsidRPr="0015450A">
        <w:rPr>
          <w:sz w:val="24"/>
          <w:szCs w:val="24"/>
        </w:rPr>
        <w:t xml:space="preserve"> arvestusüksuse finantsnäitajad on aasta-aastalt oluliselt paranenud ning see võimaldab a</w:t>
      </w:r>
      <w:r w:rsidR="00E07C9B">
        <w:rPr>
          <w:sz w:val="24"/>
          <w:szCs w:val="24"/>
        </w:rPr>
        <w:t>astateks 2020</w:t>
      </w:r>
      <w:r w:rsidR="002E13C2" w:rsidRPr="0015450A">
        <w:rPr>
          <w:sz w:val="24"/>
          <w:szCs w:val="24"/>
        </w:rPr>
        <w:t>-202</w:t>
      </w:r>
      <w:r w:rsidR="00E07C9B">
        <w:rPr>
          <w:sz w:val="24"/>
          <w:szCs w:val="24"/>
        </w:rPr>
        <w:t>3</w:t>
      </w:r>
      <w:r w:rsidR="002E13C2" w:rsidRPr="0015450A">
        <w:rPr>
          <w:sz w:val="24"/>
          <w:szCs w:val="24"/>
        </w:rPr>
        <w:t xml:space="preserve"> prognoosida valla</w:t>
      </w:r>
      <w:r w:rsidRPr="0015450A">
        <w:rPr>
          <w:sz w:val="24"/>
          <w:szCs w:val="24"/>
        </w:rPr>
        <w:t xml:space="preserve"> arenguks olulisi investeeringuid nii struktuurfondide toetuste kui ka laenukohustuse arvelt. Eelarvestrateegia koostamisel</w:t>
      </w:r>
      <w:r w:rsidR="002E13C2" w:rsidRPr="0015450A">
        <w:rPr>
          <w:sz w:val="24"/>
          <w:szCs w:val="24"/>
        </w:rPr>
        <w:t xml:space="preserve"> on lähtutud vajadusest tagada valla </w:t>
      </w:r>
      <w:r w:rsidRPr="0015450A">
        <w:rPr>
          <w:sz w:val="24"/>
          <w:szCs w:val="24"/>
        </w:rPr>
        <w:t xml:space="preserve">finantsstabiilsus ja jätkusuutlik areng vastavalt </w:t>
      </w:r>
      <w:r w:rsidR="002E13C2" w:rsidRPr="0015450A">
        <w:rPr>
          <w:sz w:val="24"/>
          <w:szCs w:val="24"/>
        </w:rPr>
        <w:t>valla</w:t>
      </w:r>
      <w:r w:rsidRPr="0015450A">
        <w:rPr>
          <w:sz w:val="24"/>
          <w:szCs w:val="24"/>
        </w:rPr>
        <w:t xml:space="preserve"> arengukavas sätestatud eesmärkidest ning arvestades kohaliku omavalitsuse üksuse finantsjuhtimise seaduses kehtestatud finantsdistsipliini tagamise meetmetest. </w:t>
      </w:r>
    </w:p>
    <w:p w:rsidR="0015450A" w:rsidRPr="0015450A" w:rsidRDefault="0015450A" w:rsidP="0015450A">
      <w:pPr>
        <w:jc w:val="both"/>
        <w:rPr>
          <w:sz w:val="24"/>
          <w:szCs w:val="24"/>
        </w:rPr>
      </w:pPr>
    </w:p>
    <w:p w:rsidR="002E13C2" w:rsidRDefault="00BF1CE1" w:rsidP="0015450A">
      <w:pPr>
        <w:jc w:val="both"/>
        <w:rPr>
          <w:sz w:val="24"/>
          <w:szCs w:val="24"/>
        </w:rPr>
      </w:pPr>
      <w:r w:rsidRPr="0015450A">
        <w:rPr>
          <w:sz w:val="24"/>
          <w:szCs w:val="24"/>
        </w:rPr>
        <w:t>Kui lähtuda riskistsenaariumi võimalusest, et tulude laekumine jääb planeeritust väiksemaks, siis väheneb põhitegevuse tulem. Põhitegevuse tulude vähenemine toob kaasa netovõlakoormuse ülemmäära vähenemise ja netovõlakoormuse protsendi tõusu. Vaba netovõlakoormuse vähenemine teeb keeruliseks investeerimistegevuse planeeritud mahus teostamise</w:t>
      </w:r>
      <w:r w:rsidRPr="00E464F4">
        <w:rPr>
          <w:sz w:val="24"/>
          <w:szCs w:val="24"/>
        </w:rPr>
        <w:t>. Eelarvestrateegias on aastateks 2</w:t>
      </w:r>
      <w:r w:rsidR="00E07C9B" w:rsidRPr="00E464F4">
        <w:rPr>
          <w:sz w:val="24"/>
          <w:szCs w:val="24"/>
        </w:rPr>
        <w:t>020</w:t>
      </w:r>
      <w:r w:rsidRPr="00E464F4">
        <w:rPr>
          <w:sz w:val="24"/>
          <w:szCs w:val="24"/>
        </w:rPr>
        <w:t xml:space="preserve"> planeeritud suuremas mahus investeeringuid laenukohustuste arvelt, mistõttu netovõlakoormus suureneb, kuid püsib lubatud piirmääras. Arvestusüksusele kehtivad samad põhitegevuse tulemi ja netovõlakoormuse nõuded nagu kohaliku omavalitsuse üksusele. Netovõlakoormus maksimaalne lubatud näitaja on 60% kuni 100% põhitegevuse tuludest sõltuvalt omafinantseerimise võimekusest. Arvestusüksuse põhitegevuse tulem ning netovõlakoormus on eelarvestrateegias prognoositud kindlalt lubatud piires, st põhitegevuse tulem on positiivne ning netovõlakoormus lubatud</w:t>
      </w:r>
      <w:r w:rsidR="002E13C2" w:rsidRPr="00E464F4">
        <w:rPr>
          <w:sz w:val="24"/>
          <w:szCs w:val="24"/>
        </w:rPr>
        <w:t xml:space="preserve"> piirmääras.</w:t>
      </w:r>
      <w:r w:rsidR="002E13C2" w:rsidRPr="0015450A">
        <w:rPr>
          <w:sz w:val="24"/>
          <w:szCs w:val="24"/>
        </w:rPr>
        <w:t xml:space="preserve"> </w:t>
      </w:r>
    </w:p>
    <w:p w:rsidR="0015450A" w:rsidRPr="0015450A" w:rsidRDefault="0015450A" w:rsidP="0015450A">
      <w:pPr>
        <w:jc w:val="both"/>
        <w:rPr>
          <w:sz w:val="24"/>
          <w:szCs w:val="24"/>
        </w:rPr>
      </w:pPr>
    </w:p>
    <w:p w:rsidR="00BF1CE1" w:rsidRPr="001E1731" w:rsidRDefault="002E13C2" w:rsidP="0015450A">
      <w:pPr>
        <w:jc w:val="both"/>
        <w:rPr>
          <w:sz w:val="24"/>
          <w:szCs w:val="24"/>
          <w:highlight w:val="yellow"/>
        </w:rPr>
      </w:pPr>
      <w:r w:rsidRPr="00E464F4">
        <w:rPr>
          <w:sz w:val="24"/>
          <w:szCs w:val="24"/>
        </w:rPr>
        <w:lastRenderedPageBreak/>
        <w:t xml:space="preserve">Valla finantsjätkusuutlikkuse tagamiseks on eelarvestrateegias arvestatud põhitegevuse tulem mahus, mis võimaldab teenindada valla laene ning tasuda intresse. Kohaliku omavalitsuse üksuse finantsjuhtimise seadus sätestab, et põhitegevuse tulem ei tohi olla negatiivne kahel </w:t>
      </w:r>
      <w:proofErr w:type="spellStart"/>
      <w:r w:rsidRPr="00E464F4">
        <w:rPr>
          <w:sz w:val="24"/>
          <w:szCs w:val="24"/>
        </w:rPr>
        <w:t>järj</w:t>
      </w:r>
      <w:r w:rsidR="00E464F4" w:rsidRPr="00E464F4">
        <w:rPr>
          <w:sz w:val="24"/>
          <w:szCs w:val="24"/>
        </w:rPr>
        <w:t>estikulisel</w:t>
      </w:r>
      <w:proofErr w:type="spellEnd"/>
      <w:r w:rsidR="00E464F4" w:rsidRPr="00E464F4">
        <w:rPr>
          <w:sz w:val="24"/>
          <w:szCs w:val="24"/>
        </w:rPr>
        <w:t xml:space="preserve"> eelarveaastal. </w:t>
      </w:r>
      <w:r w:rsidRPr="00E464F4">
        <w:rPr>
          <w:sz w:val="24"/>
          <w:szCs w:val="24"/>
        </w:rPr>
        <w:t>Vinni valla põhitegevuse tulem püsib kindlalt positiivne ilma vähenemise tendentsita, siis võib järeldada, et riskistsenaarium ei kujutaks olulist ohtu finantsdistsipliini tagamise meetmetele.</w:t>
      </w:r>
    </w:p>
    <w:p w:rsidR="009C7ACB" w:rsidRPr="001E1731" w:rsidRDefault="009C7ACB" w:rsidP="0015450A">
      <w:pPr>
        <w:jc w:val="both"/>
        <w:rPr>
          <w:sz w:val="24"/>
          <w:szCs w:val="24"/>
          <w:highlight w:val="yellow"/>
        </w:rPr>
      </w:pPr>
    </w:p>
    <w:p w:rsidR="00C4486F" w:rsidRPr="00E464F4" w:rsidRDefault="00C4486F" w:rsidP="00326510">
      <w:pPr>
        <w:jc w:val="both"/>
        <w:rPr>
          <w:sz w:val="24"/>
          <w:szCs w:val="24"/>
        </w:rPr>
      </w:pPr>
    </w:p>
    <w:p w:rsidR="00C4486F" w:rsidRPr="00E464F4" w:rsidRDefault="00C4486F" w:rsidP="00FA5C8A">
      <w:pPr>
        <w:pStyle w:val="Heading1"/>
        <w:numPr>
          <w:ilvl w:val="0"/>
          <w:numId w:val="2"/>
        </w:numPr>
      </w:pPr>
      <w:bookmarkStart w:id="19" w:name="_Toc22542306"/>
      <w:r w:rsidRPr="00E464F4">
        <w:t>Arengukava ja strateegia ajakohastamine</w:t>
      </w:r>
      <w:bookmarkEnd w:id="19"/>
    </w:p>
    <w:p w:rsidR="00C4486F" w:rsidRPr="00E464F4" w:rsidRDefault="00C4486F" w:rsidP="00326510">
      <w:pPr>
        <w:jc w:val="both"/>
        <w:rPr>
          <w:sz w:val="24"/>
          <w:szCs w:val="24"/>
        </w:rPr>
      </w:pPr>
    </w:p>
    <w:p w:rsidR="00C4486F" w:rsidRDefault="00C4486F" w:rsidP="00C4486F">
      <w:pPr>
        <w:jc w:val="both"/>
        <w:rPr>
          <w:sz w:val="24"/>
          <w:szCs w:val="24"/>
        </w:rPr>
      </w:pPr>
      <w:r w:rsidRPr="00E464F4">
        <w:rPr>
          <w:sz w:val="24"/>
          <w:szCs w:val="24"/>
        </w:rPr>
        <w:t xml:space="preserve">Eelarve strateegia ja arengukava on ajas muutuv, seega paindlik meid mõjutatavate väliste tegurite suhtes. Arengukava ja strateegiat analüüsitakse igal aastal, koostatakse ülevaade elluviimise senisest käigust, uuendatakse vajadusel lähtuvalt olukorrast eesmärke ja arengusuundumusi. Hinnatakse valla strateegilisi tegevusi, investeeringute objekte ning </w:t>
      </w:r>
      <w:proofErr w:type="spellStart"/>
      <w:r w:rsidRPr="00E464F4">
        <w:rPr>
          <w:sz w:val="24"/>
          <w:szCs w:val="24"/>
        </w:rPr>
        <w:t>prioritiseeritakse</w:t>
      </w:r>
      <w:proofErr w:type="spellEnd"/>
      <w:r w:rsidRPr="00E464F4">
        <w:rPr>
          <w:sz w:val="24"/>
          <w:szCs w:val="24"/>
        </w:rPr>
        <w:t xml:space="preserve"> projekte.</w:t>
      </w:r>
    </w:p>
    <w:p w:rsidR="005F6BF5" w:rsidRPr="00E464F4" w:rsidRDefault="005F6BF5" w:rsidP="00C4486F">
      <w:pPr>
        <w:jc w:val="both"/>
        <w:rPr>
          <w:sz w:val="24"/>
          <w:szCs w:val="24"/>
        </w:rPr>
      </w:pPr>
    </w:p>
    <w:p w:rsidR="00C4486F" w:rsidRDefault="00C4486F" w:rsidP="00C4486F">
      <w:pPr>
        <w:jc w:val="both"/>
        <w:rPr>
          <w:sz w:val="24"/>
          <w:szCs w:val="24"/>
        </w:rPr>
      </w:pPr>
      <w:r w:rsidRPr="00E464F4">
        <w:rPr>
          <w:sz w:val="24"/>
          <w:szCs w:val="24"/>
        </w:rPr>
        <w:t>Arengukava ja strateegia muutmise aluseks on valla, maakonna ja riigi arengus toimuv. Muudatuste tegemisel arvestatakse sotsiaalmajanduslikus olukorras ning keskkonnas toimunud muutusi ja ka Euroopa Liiduga tulenevaid kohustusi, õigusi ning võimalusi.</w:t>
      </w:r>
    </w:p>
    <w:p w:rsidR="005F6BF5" w:rsidRPr="00E464F4" w:rsidRDefault="005F6BF5" w:rsidP="00C4486F">
      <w:pPr>
        <w:jc w:val="both"/>
        <w:rPr>
          <w:sz w:val="24"/>
          <w:szCs w:val="24"/>
        </w:rPr>
      </w:pPr>
    </w:p>
    <w:p w:rsidR="00C4486F" w:rsidRDefault="00C4486F" w:rsidP="00326510">
      <w:pPr>
        <w:jc w:val="both"/>
        <w:rPr>
          <w:sz w:val="24"/>
          <w:szCs w:val="24"/>
        </w:rPr>
      </w:pPr>
      <w:r w:rsidRPr="00E464F4">
        <w:rPr>
          <w:sz w:val="24"/>
          <w:szCs w:val="24"/>
        </w:rPr>
        <w:t>Ettepanekuid arengukava ja strateegia muutmiseks võivad teha vallavolikogu liikmed ja komisjonid, vallavalitsus, erinevad huvigrupid ja vallaelanikud.</w:t>
      </w:r>
    </w:p>
    <w:p w:rsidR="0020338F" w:rsidRDefault="0020338F" w:rsidP="00326510">
      <w:pPr>
        <w:jc w:val="both"/>
        <w:rPr>
          <w:sz w:val="24"/>
          <w:szCs w:val="24"/>
        </w:rPr>
      </w:pPr>
    </w:p>
    <w:p w:rsidR="0020338F" w:rsidRDefault="0020338F" w:rsidP="00326510">
      <w:pPr>
        <w:jc w:val="both"/>
        <w:rPr>
          <w:sz w:val="24"/>
          <w:szCs w:val="24"/>
        </w:rPr>
      </w:pPr>
    </w:p>
    <w:p w:rsidR="00A578C6" w:rsidRDefault="00A578C6" w:rsidP="00326510">
      <w:pPr>
        <w:jc w:val="both"/>
        <w:rPr>
          <w:sz w:val="24"/>
          <w:szCs w:val="24"/>
        </w:rPr>
      </w:pPr>
      <w:r>
        <w:rPr>
          <w:sz w:val="24"/>
          <w:szCs w:val="24"/>
        </w:rPr>
        <w:t>Koostaja</w:t>
      </w:r>
    </w:p>
    <w:p w:rsidR="0020338F" w:rsidRDefault="0020338F" w:rsidP="00326510">
      <w:pPr>
        <w:jc w:val="both"/>
        <w:rPr>
          <w:sz w:val="24"/>
          <w:szCs w:val="24"/>
        </w:rPr>
      </w:pPr>
      <w:r>
        <w:rPr>
          <w:sz w:val="24"/>
          <w:szCs w:val="24"/>
        </w:rPr>
        <w:t>Tiina Mäesepp</w:t>
      </w:r>
    </w:p>
    <w:p w:rsidR="0020338F" w:rsidRDefault="0020338F" w:rsidP="00326510">
      <w:pPr>
        <w:jc w:val="both"/>
        <w:rPr>
          <w:sz w:val="24"/>
          <w:szCs w:val="24"/>
        </w:rPr>
      </w:pPr>
      <w:r>
        <w:rPr>
          <w:sz w:val="24"/>
          <w:szCs w:val="24"/>
        </w:rPr>
        <w:t>Finantsjuht</w:t>
      </w:r>
    </w:p>
    <w:sectPr w:rsidR="0020338F" w:rsidSect="000B20A4">
      <w:footerReference w:type="default" r:id="rId10"/>
      <w:pgSz w:w="12240" w:h="15840"/>
      <w:pgMar w:top="1440" w:right="1080" w:bottom="1440" w:left="1080" w:header="0" w:footer="10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F82" w:rsidRDefault="00042F82">
      <w:r>
        <w:separator/>
      </w:r>
    </w:p>
  </w:endnote>
  <w:endnote w:type="continuationSeparator" w:id="0">
    <w:p w:rsidR="00042F82" w:rsidRDefault="0004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rebuchet MS">
    <w:panose1 w:val="020B0603020202020204"/>
    <w:charset w:val="BA"/>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87732"/>
      <w:docPartObj>
        <w:docPartGallery w:val="Page Numbers (Bottom of Page)"/>
        <w:docPartUnique/>
      </w:docPartObj>
    </w:sdtPr>
    <w:sdtEndPr>
      <w:rPr>
        <w:noProof/>
      </w:rPr>
    </w:sdtEndPr>
    <w:sdtContent>
      <w:p w:rsidR="00926E8E" w:rsidRDefault="00926E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A10B8" w:rsidRDefault="00EA10B8">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F82" w:rsidRDefault="00042F82">
      <w:r>
        <w:separator/>
      </w:r>
    </w:p>
  </w:footnote>
  <w:footnote w:type="continuationSeparator" w:id="0">
    <w:p w:rsidR="00042F82" w:rsidRDefault="00042F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35A2"/>
    <w:multiLevelType w:val="hybridMultilevel"/>
    <w:tmpl w:val="972E2984"/>
    <w:lvl w:ilvl="0" w:tplc="0409000B">
      <w:start w:val="1"/>
      <w:numFmt w:val="bullet"/>
      <w:lvlText w:val=""/>
      <w:lvlJc w:val="left"/>
      <w:pPr>
        <w:ind w:left="1440" w:hanging="360"/>
      </w:pPr>
      <w:rPr>
        <w:rFonts w:ascii="Wingdings" w:hAnsi="Wingdings"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 w15:restartNumberingAfterBreak="0">
    <w:nsid w:val="06A87D58"/>
    <w:multiLevelType w:val="hybridMultilevel"/>
    <w:tmpl w:val="E1784574"/>
    <w:lvl w:ilvl="0" w:tplc="0409000B">
      <w:start w:val="1"/>
      <w:numFmt w:val="bullet"/>
      <w:lvlText w:val=""/>
      <w:lvlJc w:val="left"/>
      <w:pPr>
        <w:ind w:left="1440" w:hanging="360"/>
      </w:pPr>
      <w:rPr>
        <w:rFonts w:ascii="Wingdings" w:hAnsi="Wingdings"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 w15:restartNumberingAfterBreak="0">
    <w:nsid w:val="074801F1"/>
    <w:multiLevelType w:val="hybridMultilevel"/>
    <w:tmpl w:val="5FBACB7E"/>
    <w:lvl w:ilvl="0" w:tplc="0409000B">
      <w:start w:val="1"/>
      <w:numFmt w:val="bullet"/>
      <w:lvlText w:val=""/>
      <w:lvlJc w:val="left"/>
      <w:pPr>
        <w:ind w:left="1440" w:hanging="360"/>
      </w:pPr>
      <w:rPr>
        <w:rFonts w:ascii="Wingdings" w:hAnsi="Wingdings"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 w15:restartNumberingAfterBreak="0">
    <w:nsid w:val="0BFF5CB9"/>
    <w:multiLevelType w:val="hybridMultilevel"/>
    <w:tmpl w:val="C4FA433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3C80FEB"/>
    <w:multiLevelType w:val="hybridMultilevel"/>
    <w:tmpl w:val="AFF83600"/>
    <w:lvl w:ilvl="0" w:tplc="7BA4E0B8">
      <w:start w:val="38"/>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4815270"/>
    <w:multiLevelType w:val="hybridMultilevel"/>
    <w:tmpl w:val="9CA04CFC"/>
    <w:lvl w:ilvl="0" w:tplc="0409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4EB20A5"/>
    <w:multiLevelType w:val="hybridMultilevel"/>
    <w:tmpl w:val="5F0E16AC"/>
    <w:lvl w:ilvl="0" w:tplc="757A6ECE">
      <w:start w:val="44"/>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5BA23AA"/>
    <w:multiLevelType w:val="hybridMultilevel"/>
    <w:tmpl w:val="B4801FF6"/>
    <w:lvl w:ilvl="0" w:tplc="0409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3CD260A"/>
    <w:multiLevelType w:val="hybridMultilevel"/>
    <w:tmpl w:val="20B8AF46"/>
    <w:lvl w:ilvl="0" w:tplc="0409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4B73D8B"/>
    <w:multiLevelType w:val="hybridMultilevel"/>
    <w:tmpl w:val="8582734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61E051F"/>
    <w:multiLevelType w:val="hybridMultilevel"/>
    <w:tmpl w:val="5D5AA6A8"/>
    <w:lvl w:ilvl="0" w:tplc="0409000B">
      <w:start w:val="1"/>
      <w:numFmt w:val="bullet"/>
      <w:lvlText w:val=""/>
      <w:lvlJc w:val="left"/>
      <w:pPr>
        <w:ind w:left="785" w:hanging="360"/>
      </w:pPr>
      <w:rPr>
        <w:rFonts w:ascii="Wingdings" w:hAnsi="Wingdings" w:hint="default"/>
      </w:rPr>
    </w:lvl>
    <w:lvl w:ilvl="1" w:tplc="04250003" w:tentative="1">
      <w:start w:val="1"/>
      <w:numFmt w:val="bullet"/>
      <w:lvlText w:val="o"/>
      <w:lvlJc w:val="left"/>
      <w:pPr>
        <w:ind w:left="1505" w:hanging="360"/>
      </w:pPr>
      <w:rPr>
        <w:rFonts w:ascii="Courier New" w:hAnsi="Courier New" w:cs="Courier New" w:hint="default"/>
      </w:rPr>
    </w:lvl>
    <w:lvl w:ilvl="2" w:tplc="04250005" w:tentative="1">
      <w:start w:val="1"/>
      <w:numFmt w:val="bullet"/>
      <w:lvlText w:val=""/>
      <w:lvlJc w:val="left"/>
      <w:pPr>
        <w:ind w:left="2225" w:hanging="360"/>
      </w:pPr>
      <w:rPr>
        <w:rFonts w:ascii="Wingdings" w:hAnsi="Wingdings" w:hint="default"/>
      </w:rPr>
    </w:lvl>
    <w:lvl w:ilvl="3" w:tplc="04250001" w:tentative="1">
      <w:start w:val="1"/>
      <w:numFmt w:val="bullet"/>
      <w:lvlText w:val=""/>
      <w:lvlJc w:val="left"/>
      <w:pPr>
        <w:ind w:left="2945" w:hanging="360"/>
      </w:pPr>
      <w:rPr>
        <w:rFonts w:ascii="Symbol" w:hAnsi="Symbol" w:hint="default"/>
      </w:rPr>
    </w:lvl>
    <w:lvl w:ilvl="4" w:tplc="04250003" w:tentative="1">
      <w:start w:val="1"/>
      <w:numFmt w:val="bullet"/>
      <w:lvlText w:val="o"/>
      <w:lvlJc w:val="left"/>
      <w:pPr>
        <w:ind w:left="3665" w:hanging="360"/>
      </w:pPr>
      <w:rPr>
        <w:rFonts w:ascii="Courier New" w:hAnsi="Courier New" w:cs="Courier New" w:hint="default"/>
      </w:rPr>
    </w:lvl>
    <w:lvl w:ilvl="5" w:tplc="04250005" w:tentative="1">
      <w:start w:val="1"/>
      <w:numFmt w:val="bullet"/>
      <w:lvlText w:val=""/>
      <w:lvlJc w:val="left"/>
      <w:pPr>
        <w:ind w:left="4385" w:hanging="360"/>
      </w:pPr>
      <w:rPr>
        <w:rFonts w:ascii="Wingdings" w:hAnsi="Wingdings" w:hint="default"/>
      </w:rPr>
    </w:lvl>
    <w:lvl w:ilvl="6" w:tplc="04250001" w:tentative="1">
      <w:start w:val="1"/>
      <w:numFmt w:val="bullet"/>
      <w:lvlText w:val=""/>
      <w:lvlJc w:val="left"/>
      <w:pPr>
        <w:ind w:left="5105" w:hanging="360"/>
      </w:pPr>
      <w:rPr>
        <w:rFonts w:ascii="Symbol" w:hAnsi="Symbol" w:hint="default"/>
      </w:rPr>
    </w:lvl>
    <w:lvl w:ilvl="7" w:tplc="04250003" w:tentative="1">
      <w:start w:val="1"/>
      <w:numFmt w:val="bullet"/>
      <w:lvlText w:val="o"/>
      <w:lvlJc w:val="left"/>
      <w:pPr>
        <w:ind w:left="5825" w:hanging="360"/>
      </w:pPr>
      <w:rPr>
        <w:rFonts w:ascii="Courier New" w:hAnsi="Courier New" w:cs="Courier New" w:hint="default"/>
      </w:rPr>
    </w:lvl>
    <w:lvl w:ilvl="8" w:tplc="04250005" w:tentative="1">
      <w:start w:val="1"/>
      <w:numFmt w:val="bullet"/>
      <w:lvlText w:val=""/>
      <w:lvlJc w:val="left"/>
      <w:pPr>
        <w:ind w:left="6545" w:hanging="360"/>
      </w:pPr>
      <w:rPr>
        <w:rFonts w:ascii="Wingdings" w:hAnsi="Wingdings" w:hint="default"/>
      </w:rPr>
    </w:lvl>
  </w:abstractNum>
  <w:abstractNum w:abstractNumId="11" w15:restartNumberingAfterBreak="0">
    <w:nsid w:val="263461D1"/>
    <w:multiLevelType w:val="hybridMultilevel"/>
    <w:tmpl w:val="B67897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B50682F"/>
    <w:multiLevelType w:val="hybridMultilevel"/>
    <w:tmpl w:val="502045BC"/>
    <w:lvl w:ilvl="0" w:tplc="0409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389B4F08"/>
    <w:multiLevelType w:val="hybridMultilevel"/>
    <w:tmpl w:val="6032E3D6"/>
    <w:lvl w:ilvl="0" w:tplc="0409000B">
      <w:start w:val="1"/>
      <w:numFmt w:val="bullet"/>
      <w:lvlText w:val=""/>
      <w:lvlJc w:val="left"/>
      <w:pPr>
        <w:ind w:left="1080" w:hanging="360"/>
      </w:pPr>
      <w:rPr>
        <w:rFonts w:ascii="Wingdings" w:hAnsi="Wingdings"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4" w15:restartNumberingAfterBreak="0">
    <w:nsid w:val="3C7A4FAC"/>
    <w:multiLevelType w:val="multilevel"/>
    <w:tmpl w:val="04250025"/>
    <w:lvl w:ilvl="0">
      <w:start w:val="1"/>
      <w:numFmt w:val="decimal"/>
      <w:pStyle w:val="Heading1"/>
      <w:lvlText w:val="%1"/>
      <w:lvlJc w:val="left"/>
      <w:pPr>
        <w:ind w:left="1152" w:hanging="432"/>
      </w:pPr>
    </w:lvl>
    <w:lvl w:ilvl="1">
      <w:start w:val="1"/>
      <w:numFmt w:val="decimal"/>
      <w:pStyle w:val="Heading2"/>
      <w:lvlText w:val="%1.%2"/>
      <w:lvlJc w:val="left"/>
      <w:pPr>
        <w:ind w:left="1296" w:hanging="576"/>
      </w:pPr>
    </w:lvl>
    <w:lvl w:ilvl="2">
      <w:start w:val="1"/>
      <w:numFmt w:val="decimal"/>
      <w:pStyle w:val="Heading3"/>
      <w:lvlText w:val="%1.%2.%3"/>
      <w:lvlJc w:val="left"/>
      <w:pPr>
        <w:ind w:left="144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728" w:hanging="1008"/>
      </w:pPr>
    </w:lvl>
    <w:lvl w:ilvl="5">
      <w:start w:val="1"/>
      <w:numFmt w:val="decimal"/>
      <w:pStyle w:val="Heading6"/>
      <w:lvlText w:val="%1.%2.%3.%4.%5.%6"/>
      <w:lvlJc w:val="left"/>
      <w:pPr>
        <w:ind w:left="1872" w:hanging="1152"/>
      </w:pPr>
    </w:lvl>
    <w:lvl w:ilvl="6">
      <w:start w:val="1"/>
      <w:numFmt w:val="decimal"/>
      <w:pStyle w:val="Heading7"/>
      <w:lvlText w:val="%1.%2.%3.%4.%5.%6.%7"/>
      <w:lvlJc w:val="left"/>
      <w:pPr>
        <w:ind w:left="2016" w:hanging="1296"/>
      </w:pPr>
    </w:lvl>
    <w:lvl w:ilvl="7">
      <w:start w:val="1"/>
      <w:numFmt w:val="decimal"/>
      <w:pStyle w:val="Heading8"/>
      <w:lvlText w:val="%1.%2.%3.%4.%5.%6.%7.%8"/>
      <w:lvlJc w:val="left"/>
      <w:pPr>
        <w:ind w:left="2160" w:hanging="1440"/>
      </w:pPr>
    </w:lvl>
    <w:lvl w:ilvl="8">
      <w:start w:val="1"/>
      <w:numFmt w:val="decimal"/>
      <w:pStyle w:val="Heading9"/>
      <w:lvlText w:val="%1.%2.%3.%4.%5.%6.%7.%8.%9"/>
      <w:lvlJc w:val="left"/>
      <w:pPr>
        <w:ind w:left="2304" w:hanging="1584"/>
      </w:pPr>
    </w:lvl>
  </w:abstractNum>
  <w:abstractNum w:abstractNumId="15" w15:restartNumberingAfterBreak="0">
    <w:nsid w:val="447D3149"/>
    <w:multiLevelType w:val="hybridMultilevel"/>
    <w:tmpl w:val="F5E4BA0E"/>
    <w:lvl w:ilvl="0" w:tplc="0409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B886679"/>
    <w:multiLevelType w:val="hybridMultilevel"/>
    <w:tmpl w:val="F886CBA2"/>
    <w:lvl w:ilvl="0" w:tplc="0409000B">
      <w:start w:val="1"/>
      <w:numFmt w:val="bullet"/>
      <w:lvlText w:val=""/>
      <w:lvlJc w:val="left"/>
      <w:pPr>
        <w:ind w:left="1080" w:hanging="360"/>
      </w:pPr>
      <w:rPr>
        <w:rFonts w:ascii="Wingdings" w:hAnsi="Wingdings"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7" w15:restartNumberingAfterBreak="0">
    <w:nsid w:val="4C040B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A7326C"/>
    <w:multiLevelType w:val="hybridMultilevel"/>
    <w:tmpl w:val="1F508C8C"/>
    <w:lvl w:ilvl="0" w:tplc="0409000B">
      <w:start w:val="1"/>
      <w:numFmt w:val="bullet"/>
      <w:lvlText w:val=""/>
      <w:lvlJc w:val="left"/>
      <w:pPr>
        <w:ind w:left="1080" w:hanging="360"/>
      </w:pPr>
      <w:rPr>
        <w:rFonts w:ascii="Wingdings" w:hAnsi="Wingdings"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9" w15:restartNumberingAfterBreak="0">
    <w:nsid w:val="521538B9"/>
    <w:multiLevelType w:val="hybridMultilevel"/>
    <w:tmpl w:val="BCF20324"/>
    <w:lvl w:ilvl="0" w:tplc="0409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555E37C2"/>
    <w:multiLevelType w:val="hybridMultilevel"/>
    <w:tmpl w:val="5838D7D6"/>
    <w:lvl w:ilvl="0" w:tplc="0409000B">
      <w:start w:val="1"/>
      <w:numFmt w:val="bullet"/>
      <w:lvlText w:val=""/>
      <w:lvlJc w:val="left"/>
      <w:pPr>
        <w:ind w:left="785" w:hanging="360"/>
      </w:pPr>
      <w:rPr>
        <w:rFonts w:ascii="Wingdings" w:hAnsi="Wingdings" w:hint="default"/>
      </w:rPr>
    </w:lvl>
    <w:lvl w:ilvl="1" w:tplc="04250003" w:tentative="1">
      <w:start w:val="1"/>
      <w:numFmt w:val="bullet"/>
      <w:lvlText w:val="o"/>
      <w:lvlJc w:val="left"/>
      <w:pPr>
        <w:ind w:left="1505" w:hanging="360"/>
      </w:pPr>
      <w:rPr>
        <w:rFonts w:ascii="Courier New" w:hAnsi="Courier New" w:cs="Courier New" w:hint="default"/>
      </w:rPr>
    </w:lvl>
    <w:lvl w:ilvl="2" w:tplc="04250005" w:tentative="1">
      <w:start w:val="1"/>
      <w:numFmt w:val="bullet"/>
      <w:lvlText w:val=""/>
      <w:lvlJc w:val="left"/>
      <w:pPr>
        <w:ind w:left="2225" w:hanging="360"/>
      </w:pPr>
      <w:rPr>
        <w:rFonts w:ascii="Wingdings" w:hAnsi="Wingdings" w:hint="default"/>
      </w:rPr>
    </w:lvl>
    <w:lvl w:ilvl="3" w:tplc="04250001" w:tentative="1">
      <w:start w:val="1"/>
      <w:numFmt w:val="bullet"/>
      <w:lvlText w:val=""/>
      <w:lvlJc w:val="left"/>
      <w:pPr>
        <w:ind w:left="2945" w:hanging="360"/>
      </w:pPr>
      <w:rPr>
        <w:rFonts w:ascii="Symbol" w:hAnsi="Symbol" w:hint="default"/>
      </w:rPr>
    </w:lvl>
    <w:lvl w:ilvl="4" w:tplc="04250003" w:tentative="1">
      <w:start w:val="1"/>
      <w:numFmt w:val="bullet"/>
      <w:lvlText w:val="o"/>
      <w:lvlJc w:val="left"/>
      <w:pPr>
        <w:ind w:left="3665" w:hanging="360"/>
      </w:pPr>
      <w:rPr>
        <w:rFonts w:ascii="Courier New" w:hAnsi="Courier New" w:cs="Courier New" w:hint="default"/>
      </w:rPr>
    </w:lvl>
    <w:lvl w:ilvl="5" w:tplc="04250005" w:tentative="1">
      <w:start w:val="1"/>
      <w:numFmt w:val="bullet"/>
      <w:lvlText w:val=""/>
      <w:lvlJc w:val="left"/>
      <w:pPr>
        <w:ind w:left="4385" w:hanging="360"/>
      </w:pPr>
      <w:rPr>
        <w:rFonts w:ascii="Wingdings" w:hAnsi="Wingdings" w:hint="default"/>
      </w:rPr>
    </w:lvl>
    <w:lvl w:ilvl="6" w:tplc="04250001" w:tentative="1">
      <w:start w:val="1"/>
      <w:numFmt w:val="bullet"/>
      <w:lvlText w:val=""/>
      <w:lvlJc w:val="left"/>
      <w:pPr>
        <w:ind w:left="5105" w:hanging="360"/>
      </w:pPr>
      <w:rPr>
        <w:rFonts w:ascii="Symbol" w:hAnsi="Symbol" w:hint="default"/>
      </w:rPr>
    </w:lvl>
    <w:lvl w:ilvl="7" w:tplc="04250003" w:tentative="1">
      <w:start w:val="1"/>
      <w:numFmt w:val="bullet"/>
      <w:lvlText w:val="o"/>
      <w:lvlJc w:val="left"/>
      <w:pPr>
        <w:ind w:left="5825" w:hanging="360"/>
      </w:pPr>
      <w:rPr>
        <w:rFonts w:ascii="Courier New" w:hAnsi="Courier New" w:cs="Courier New" w:hint="default"/>
      </w:rPr>
    </w:lvl>
    <w:lvl w:ilvl="8" w:tplc="04250005" w:tentative="1">
      <w:start w:val="1"/>
      <w:numFmt w:val="bullet"/>
      <w:lvlText w:val=""/>
      <w:lvlJc w:val="left"/>
      <w:pPr>
        <w:ind w:left="6545" w:hanging="360"/>
      </w:pPr>
      <w:rPr>
        <w:rFonts w:ascii="Wingdings" w:hAnsi="Wingdings" w:hint="default"/>
      </w:rPr>
    </w:lvl>
  </w:abstractNum>
  <w:abstractNum w:abstractNumId="21" w15:restartNumberingAfterBreak="0">
    <w:nsid w:val="57773681"/>
    <w:multiLevelType w:val="multilevel"/>
    <w:tmpl w:val="0409001F"/>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22" w15:restartNumberingAfterBreak="0">
    <w:nsid w:val="5E907DE5"/>
    <w:multiLevelType w:val="hybridMultilevel"/>
    <w:tmpl w:val="0554CEDA"/>
    <w:lvl w:ilvl="0" w:tplc="0409000B">
      <w:start w:val="1"/>
      <w:numFmt w:val="bullet"/>
      <w:lvlText w:val=""/>
      <w:lvlJc w:val="left"/>
      <w:pPr>
        <w:ind w:left="785" w:hanging="360"/>
      </w:pPr>
      <w:rPr>
        <w:rFonts w:ascii="Wingdings" w:hAnsi="Wingdings" w:hint="default"/>
      </w:rPr>
    </w:lvl>
    <w:lvl w:ilvl="1" w:tplc="04250003" w:tentative="1">
      <w:start w:val="1"/>
      <w:numFmt w:val="bullet"/>
      <w:lvlText w:val="o"/>
      <w:lvlJc w:val="left"/>
      <w:pPr>
        <w:ind w:left="1505" w:hanging="360"/>
      </w:pPr>
      <w:rPr>
        <w:rFonts w:ascii="Courier New" w:hAnsi="Courier New" w:cs="Courier New" w:hint="default"/>
      </w:rPr>
    </w:lvl>
    <w:lvl w:ilvl="2" w:tplc="04250005" w:tentative="1">
      <w:start w:val="1"/>
      <w:numFmt w:val="bullet"/>
      <w:lvlText w:val=""/>
      <w:lvlJc w:val="left"/>
      <w:pPr>
        <w:ind w:left="2225" w:hanging="360"/>
      </w:pPr>
      <w:rPr>
        <w:rFonts w:ascii="Wingdings" w:hAnsi="Wingdings" w:hint="default"/>
      </w:rPr>
    </w:lvl>
    <w:lvl w:ilvl="3" w:tplc="04250001" w:tentative="1">
      <w:start w:val="1"/>
      <w:numFmt w:val="bullet"/>
      <w:lvlText w:val=""/>
      <w:lvlJc w:val="left"/>
      <w:pPr>
        <w:ind w:left="2945" w:hanging="360"/>
      </w:pPr>
      <w:rPr>
        <w:rFonts w:ascii="Symbol" w:hAnsi="Symbol" w:hint="default"/>
      </w:rPr>
    </w:lvl>
    <w:lvl w:ilvl="4" w:tplc="04250003" w:tentative="1">
      <w:start w:val="1"/>
      <w:numFmt w:val="bullet"/>
      <w:lvlText w:val="o"/>
      <w:lvlJc w:val="left"/>
      <w:pPr>
        <w:ind w:left="3665" w:hanging="360"/>
      </w:pPr>
      <w:rPr>
        <w:rFonts w:ascii="Courier New" w:hAnsi="Courier New" w:cs="Courier New" w:hint="default"/>
      </w:rPr>
    </w:lvl>
    <w:lvl w:ilvl="5" w:tplc="04250005" w:tentative="1">
      <w:start w:val="1"/>
      <w:numFmt w:val="bullet"/>
      <w:lvlText w:val=""/>
      <w:lvlJc w:val="left"/>
      <w:pPr>
        <w:ind w:left="4385" w:hanging="360"/>
      </w:pPr>
      <w:rPr>
        <w:rFonts w:ascii="Wingdings" w:hAnsi="Wingdings" w:hint="default"/>
      </w:rPr>
    </w:lvl>
    <w:lvl w:ilvl="6" w:tplc="04250001" w:tentative="1">
      <w:start w:val="1"/>
      <w:numFmt w:val="bullet"/>
      <w:lvlText w:val=""/>
      <w:lvlJc w:val="left"/>
      <w:pPr>
        <w:ind w:left="5105" w:hanging="360"/>
      </w:pPr>
      <w:rPr>
        <w:rFonts w:ascii="Symbol" w:hAnsi="Symbol" w:hint="default"/>
      </w:rPr>
    </w:lvl>
    <w:lvl w:ilvl="7" w:tplc="04250003" w:tentative="1">
      <w:start w:val="1"/>
      <w:numFmt w:val="bullet"/>
      <w:lvlText w:val="o"/>
      <w:lvlJc w:val="left"/>
      <w:pPr>
        <w:ind w:left="5825" w:hanging="360"/>
      </w:pPr>
      <w:rPr>
        <w:rFonts w:ascii="Courier New" w:hAnsi="Courier New" w:cs="Courier New" w:hint="default"/>
      </w:rPr>
    </w:lvl>
    <w:lvl w:ilvl="8" w:tplc="04250005" w:tentative="1">
      <w:start w:val="1"/>
      <w:numFmt w:val="bullet"/>
      <w:lvlText w:val=""/>
      <w:lvlJc w:val="left"/>
      <w:pPr>
        <w:ind w:left="6545" w:hanging="360"/>
      </w:pPr>
      <w:rPr>
        <w:rFonts w:ascii="Wingdings" w:hAnsi="Wingdings" w:hint="default"/>
      </w:rPr>
    </w:lvl>
  </w:abstractNum>
  <w:abstractNum w:abstractNumId="23" w15:restartNumberingAfterBreak="0">
    <w:nsid w:val="68013612"/>
    <w:multiLevelType w:val="hybridMultilevel"/>
    <w:tmpl w:val="32B257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6B9F0232"/>
    <w:multiLevelType w:val="hybridMultilevel"/>
    <w:tmpl w:val="B04836CE"/>
    <w:lvl w:ilvl="0" w:tplc="0409000B">
      <w:start w:val="1"/>
      <w:numFmt w:val="bullet"/>
      <w:lvlText w:val=""/>
      <w:lvlJc w:val="left"/>
      <w:pPr>
        <w:ind w:left="1080" w:hanging="360"/>
      </w:pPr>
      <w:rPr>
        <w:rFonts w:ascii="Wingdings" w:hAnsi="Wingdings"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5" w15:restartNumberingAfterBreak="0">
    <w:nsid w:val="6CA5454F"/>
    <w:multiLevelType w:val="hybridMultilevel"/>
    <w:tmpl w:val="0550161E"/>
    <w:lvl w:ilvl="0" w:tplc="16A621AC">
      <w:start w:val="4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1674B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4E7528"/>
    <w:multiLevelType w:val="hybridMultilevel"/>
    <w:tmpl w:val="00D09A0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7C7264B6"/>
    <w:multiLevelType w:val="hybridMultilevel"/>
    <w:tmpl w:val="91828F08"/>
    <w:lvl w:ilvl="0" w:tplc="73422750">
      <w:start w:val="44"/>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9" w15:restartNumberingAfterBreak="0">
    <w:nsid w:val="7E1005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6"/>
  </w:num>
  <w:num w:numId="3">
    <w:abstractNumId w:val="14"/>
  </w:num>
  <w:num w:numId="4">
    <w:abstractNumId w:val="21"/>
  </w:num>
  <w:num w:numId="5">
    <w:abstractNumId w:val="24"/>
  </w:num>
  <w:num w:numId="6">
    <w:abstractNumId w:val="18"/>
  </w:num>
  <w:num w:numId="7">
    <w:abstractNumId w:val="4"/>
  </w:num>
  <w:num w:numId="8">
    <w:abstractNumId w:val="5"/>
  </w:num>
  <w:num w:numId="9">
    <w:abstractNumId w:val="8"/>
  </w:num>
  <w:num w:numId="10">
    <w:abstractNumId w:val="12"/>
  </w:num>
  <w:num w:numId="11">
    <w:abstractNumId w:val="22"/>
  </w:num>
  <w:num w:numId="12">
    <w:abstractNumId w:val="10"/>
  </w:num>
  <w:num w:numId="13">
    <w:abstractNumId w:val="13"/>
  </w:num>
  <w:num w:numId="14">
    <w:abstractNumId w:val="20"/>
  </w:num>
  <w:num w:numId="15">
    <w:abstractNumId w:val="1"/>
  </w:num>
  <w:num w:numId="16">
    <w:abstractNumId w:val="2"/>
  </w:num>
  <w:num w:numId="17">
    <w:abstractNumId w:val="16"/>
  </w:num>
  <w:num w:numId="18">
    <w:abstractNumId w:val="6"/>
  </w:num>
  <w:num w:numId="19">
    <w:abstractNumId w:val="25"/>
  </w:num>
  <w:num w:numId="20">
    <w:abstractNumId w:val="28"/>
  </w:num>
  <w:num w:numId="21">
    <w:abstractNumId w:val="23"/>
  </w:num>
  <w:num w:numId="22">
    <w:abstractNumId w:val="27"/>
  </w:num>
  <w:num w:numId="23">
    <w:abstractNumId w:val="3"/>
  </w:num>
  <w:num w:numId="24">
    <w:abstractNumId w:val="7"/>
  </w:num>
  <w:num w:numId="25">
    <w:abstractNumId w:val="11"/>
  </w:num>
  <w:num w:numId="26">
    <w:abstractNumId w:val="15"/>
  </w:num>
  <w:num w:numId="27">
    <w:abstractNumId w:val="9"/>
  </w:num>
  <w:num w:numId="28">
    <w:abstractNumId w:val="19"/>
  </w:num>
  <w:num w:numId="29">
    <w:abstractNumId w:val="17"/>
  </w:num>
  <w:num w:numId="30">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9C"/>
    <w:rsid w:val="000036DB"/>
    <w:rsid w:val="00005C60"/>
    <w:rsid w:val="00014DFE"/>
    <w:rsid w:val="000170BB"/>
    <w:rsid w:val="00026D32"/>
    <w:rsid w:val="00031F61"/>
    <w:rsid w:val="00037359"/>
    <w:rsid w:val="00042F82"/>
    <w:rsid w:val="000518AF"/>
    <w:rsid w:val="00055D28"/>
    <w:rsid w:val="00063A1F"/>
    <w:rsid w:val="000658F7"/>
    <w:rsid w:val="00072E9D"/>
    <w:rsid w:val="00082DC2"/>
    <w:rsid w:val="00092D36"/>
    <w:rsid w:val="000A0D42"/>
    <w:rsid w:val="000A3F06"/>
    <w:rsid w:val="000B20A4"/>
    <w:rsid w:val="000B623A"/>
    <w:rsid w:val="000D5A20"/>
    <w:rsid w:val="000F5FD0"/>
    <w:rsid w:val="000F76F3"/>
    <w:rsid w:val="00104A8E"/>
    <w:rsid w:val="00113EA7"/>
    <w:rsid w:val="001140C9"/>
    <w:rsid w:val="00115FCB"/>
    <w:rsid w:val="00121B6A"/>
    <w:rsid w:val="0015450A"/>
    <w:rsid w:val="00157A85"/>
    <w:rsid w:val="00161525"/>
    <w:rsid w:val="00164948"/>
    <w:rsid w:val="00170A79"/>
    <w:rsid w:val="00172473"/>
    <w:rsid w:val="00173F6C"/>
    <w:rsid w:val="001755F4"/>
    <w:rsid w:val="001829FB"/>
    <w:rsid w:val="001867ED"/>
    <w:rsid w:val="001905BA"/>
    <w:rsid w:val="001C30B9"/>
    <w:rsid w:val="001D622A"/>
    <w:rsid w:val="001E1731"/>
    <w:rsid w:val="001E6F84"/>
    <w:rsid w:val="001F0C13"/>
    <w:rsid w:val="001F1FE0"/>
    <w:rsid w:val="001F2D83"/>
    <w:rsid w:val="001F2D8D"/>
    <w:rsid w:val="0020338F"/>
    <w:rsid w:val="0021517C"/>
    <w:rsid w:val="0023300E"/>
    <w:rsid w:val="00246F81"/>
    <w:rsid w:val="00251A40"/>
    <w:rsid w:val="002532E3"/>
    <w:rsid w:val="00261F5C"/>
    <w:rsid w:val="00267295"/>
    <w:rsid w:val="00274CC2"/>
    <w:rsid w:val="00281FE7"/>
    <w:rsid w:val="002835D1"/>
    <w:rsid w:val="00295AB4"/>
    <w:rsid w:val="002B1B8B"/>
    <w:rsid w:val="002C74DD"/>
    <w:rsid w:val="002D5CB9"/>
    <w:rsid w:val="002E13C2"/>
    <w:rsid w:val="00312810"/>
    <w:rsid w:val="0032151A"/>
    <w:rsid w:val="00323650"/>
    <w:rsid w:val="00326510"/>
    <w:rsid w:val="0033152A"/>
    <w:rsid w:val="00337C6F"/>
    <w:rsid w:val="0037487F"/>
    <w:rsid w:val="003802A4"/>
    <w:rsid w:val="003D470C"/>
    <w:rsid w:val="003E709C"/>
    <w:rsid w:val="003F5006"/>
    <w:rsid w:val="003F6AF5"/>
    <w:rsid w:val="00402A5C"/>
    <w:rsid w:val="00417DD5"/>
    <w:rsid w:val="00422B00"/>
    <w:rsid w:val="00442E7C"/>
    <w:rsid w:val="004541E4"/>
    <w:rsid w:val="00460178"/>
    <w:rsid w:val="004B35E3"/>
    <w:rsid w:val="004B5560"/>
    <w:rsid w:val="004C6BD8"/>
    <w:rsid w:val="004D4FC4"/>
    <w:rsid w:val="004D7864"/>
    <w:rsid w:val="00503110"/>
    <w:rsid w:val="00503FE6"/>
    <w:rsid w:val="005061AD"/>
    <w:rsid w:val="00534B25"/>
    <w:rsid w:val="00543B12"/>
    <w:rsid w:val="00547E61"/>
    <w:rsid w:val="00552835"/>
    <w:rsid w:val="00552A49"/>
    <w:rsid w:val="00556FE8"/>
    <w:rsid w:val="0055738F"/>
    <w:rsid w:val="0056016C"/>
    <w:rsid w:val="00576CD8"/>
    <w:rsid w:val="00577C63"/>
    <w:rsid w:val="005C55A6"/>
    <w:rsid w:val="005D359D"/>
    <w:rsid w:val="005D3DB8"/>
    <w:rsid w:val="005E4E82"/>
    <w:rsid w:val="005E53B1"/>
    <w:rsid w:val="005F3474"/>
    <w:rsid w:val="005F6BF5"/>
    <w:rsid w:val="00614CF8"/>
    <w:rsid w:val="00627A18"/>
    <w:rsid w:val="00627A93"/>
    <w:rsid w:val="006360A0"/>
    <w:rsid w:val="00654DFF"/>
    <w:rsid w:val="006636D2"/>
    <w:rsid w:val="00677F3C"/>
    <w:rsid w:val="006917EC"/>
    <w:rsid w:val="006A1602"/>
    <w:rsid w:val="006A708A"/>
    <w:rsid w:val="006B77C1"/>
    <w:rsid w:val="006C025D"/>
    <w:rsid w:val="006C3535"/>
    <w:rsid w:val="006C6FFD"/>
    <w:rsid w:val="006D719C"/>
    <w:rsid w:val="006F73E5"/>
    <w:rsid w:val="006F758A"/>
    <w:rsid w:val="00706D7B"/>
    <w:rsid w:val="0072311A"/>
    <w:rsid w:val="007419A7"/>
    <w:rsid w:val="007438AC"/>
    <w:rsid w:val="00766396"/>
    <w:rsid w:val="00770434"/>
    <w:rsid w:val="0078336F"/>
    <w:rsid w:val="0079007B"/>
    <w:rsid w:val="007A30D3"/>
    <w:rsid w:val="007B4415"/>
    <w:rsid w:val="007C71B3"/>
    <w:rsid w:val="007D3A0F"/>
    <w:rsid w:val="007D5240"/>
    <w:rsid w:val="007D7041"/>
    <w:rsid w:val="007D7FF5"/>
    <w:rsid w:val="007E03C4"/>
    <w:rsid w:val="007E2A66"/>
    <w:rsid w:val="007F57E9"/>
    <w:rsid w:val="0081301B"/>
    <w:rsid w:val="008321C8"/>
    <w:rsid w:val="008361BA"/>
    <w:rsid w:val="00836313"/>
    <w:rsid w:val="00837CDB"/>
    <w:rsid w:val="00860EDA"/>
    <w:rsid w:val="00870AB5"/>
    <w:rsid w:val="008A4DD9"/>
    <w:rsid w:val="008A60A6"/>
    <w:rsid w:val="008A679F"/>
    <w:rsid w:val="008A6B9A"/>
    <w:rsid w:val="008B43E5"/>
    <w:rsid w:val="008C452E"/>
    <w:rsid w:val="008D58BD"/>
    <w:rsid w:val="0090413A"/>
    <w:rsid w:val="00921737"/>
    <w:rsid w:val="00926E8E"/>
    <w:rsid w:val="00946159"/>
    <w:rsid w:val="00954619"/>
    <w:rsid w:val="00960D7D"/>
    <w:rsid w:val="0097444F"/>
    <w:rsid w:val="00974C70"/>
    <w:rsid w:val="0097775A"/>
    <w:rsid w:val="00990C97"/>
    <w:rsid w:val="009A52AF"/>
    <w:rsid w:val="009C3BF6"/>
    <w:rsid w:val="009C44AD"/>
    <w:rsid w:val="009C7ACB"/>
    <w:rsid w:val="009D08FC"/>
    <w:rsid w:val="009D67EC"/>
    <w:rsid w:val="009E6A42"/>
    <w:rsid w:val="009F5939"/>
    <w:rsid w:val="009F6F14"/>
    <w:rsid w:val="009F766C"/>
    <w:rsid w:val="00A00713"/>
    <w:rsid w:val="00A10F0C"/>
    <w:rsid w:val="00A13341"/>
    <w:rsid w:val="00A21E80"/>
    <w:rsid w:val="00A27A28"/>
    <w:rsid w:val="00A37892"/>
    <w:rsid w:val="00A42D4A"/>
    <w:rsid w:val="00A47C69"/>
    <w:rsid w:val="00A578C6"/>
    <w:rsid w:val="00A7458C"/>
    <w:rsid w:val="00A84EBE"/>
    <w:rsid w:val="00A85531"/>
    <w:rsid w:val="00A93544"/>
    <w:rsid w:val="00AA2D37"/>
    <w:rsid w:val="00AA3B3A"/>
    <w:rsid w:val="00AA3B4E"/>
    <w:rsid w:val="00AB1BB3"/>
    <w:rsid w:val="00AD15CD"/>
    <w:rsid w:val="00AD5874"/>
    <w:rsid w:val="00AE1DD8"/>
    <w:rsid w:val="00B07D23"/>
    <w:rsid w:val="00B13047"/>
    <w:rsid w:val="00B1389A"/>
    <w:rsid w:val="00B6711A"/>
    <w:rsid w:val="00B73CCC"/>
    <w:rsid w:val="00B86D7B"/>
    <w:rsid w:val="00BB272E"/>
    <w:rsid w:val="00BB762F"/>
    <w:rsid w:val="00BD1707"/>
    <w:rsid w:val="00BD525C"/>
    <w:rsid w:val="00BE2DAA"/>
    <w:rsid w:val="00BF1CE1"/>
    <w:rsid w:val="00C15F2B"/>
    <w:rsid w:val="00C2728F"/>
    <w:rsid w:val="00C4486F"/>
    <w:rsid w:val="00C462B5"/>
    <w:rsid w:val="00C46337"/>
    <w:rsid w:val="00C501E0"/>
    <w:rsid w:val="00C50F4A"/>
    <w:rsid w:val="00C665F3"/>
    <w:rsid w:val="00C738A7"/>
    <w:rsid w:val="00C77EE0"/>
    <w:rsid w:val="00C84BE7"/>
    <w:rsid w:val="00C9099F"/>
    <w:rsid w:val="00CA2A8D"/>
    <w:rsid w:val="00CA6501"/>
    <w:rsid w:val="00CB5301"/>
    <w:rsid w:val="00CD127C"/>
    <w:rsid w:val="00CD5810"/>
    <w:rsid w:val="00CF0F8C"/>
    <w:rsid w:val="00D354D8"/>
    <w:rsid w:val="00D540BD"/>
    <w:rsid w:val="00D66362"/>
    <w:rsid w:val="00DA459E"/>
    <w:rsid w:val="00DE12A8"/>
    <w:rsid w:val="00DE4CE3"/>
    <w:rsid w:val="00DE7ECE"/>
    <w:rsid w:val="00DF07C7"/>
    <w:rsid w:val="00E037F1"/>
    <w:rsid w:val="00E03B3E"/>
    <w:rsid w:val="00E04157"/>
    <w:rsid w:val="00E07C9B"/>
    <w:rsid w:val="00E123D7"/>
    <w:rsid w:val="00E26831"/>
    <w:rsid w:val="00E268BD"/>
    <w:rsid w:val="00E45E62"/>
    <w:rsid w:val="00E464F4"/>
    <w:rsid w:val="00E57359"/>
    <w:rsid w:val="00E752F8"/>
    <w:rsid w:val="00E82AF1"/>
    <w:rsid w:val="00EA10B8"/>
    <w:rsid w:val="00EA60F0"/>
    <w:rsid w:val="00EA7BB6"/>
    <w:rsid w:val="00EA7F91"/>
    <w:rsid w:val="00EB5F73"/>
    <w:rsid w:val="00ED19E6"/>
    <w:rsid w:val="00ED4629"/>
    <w:rsid w:val="00F00375"/>
    <w:rsid w:val="00F02794"/>
    <w:rsid w:val="00F04A07"/>
    <w:rsid w:val="00F10815"/>
    <w:rsid w:val="00F13E2D"/>
    <w:rsid w:val="00F35C0A"/>
    <w:rsid w:val="00F36C2F"/>
    <w:rsid w:val="00F417DC"/>
    <w:rsid w:val="00F561D9"/>
    <w:rsid w:val="00F651E1"/>
    <w:rsid w:val="00F8739B"/>
    <w:rsid w:val="00FA1C99"/>
    <w:rsid w:val="00FA5C8A"/>
    <w:rsid w:val="00FC4B57"/>
    <w:rsid w:val="00FD16A4"/>
    <w:rsid w:val="00FD2672"/>
    <w:rsid w:val="00FE1EA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946341-1430-411D-856C-30C2F0DE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t" w:eastAsia="et"/>
    </w:rPr>
  </w:style>
  <w:style w:type="paragraph" w:styleId="Heading1">
    <w:name w:val="heading 1"/>
    <w:basedOn w:val="Normal"/>
    <w:uiPriority w:val="1"/>
    <w:qFormat/>
    <w:pPr>
      <w:numPr>
        <w:numId w:val="3"/>
      </w:numPr>
      <w:spacing w:before="78"/>
      <w:outlineLvl w:val="0"/>
    </w:pPr>
    <w:rPr>
      <w:b/>
      <w:bCs/>
      <w:sz w:val="28"/>
      <w:szCs w:val="28"/>
    </w:rPr>
  </w:style>
  <w:style w:type="paragraph" w:styleId="Heading2">
    <w:name w:val="heading 2"/>
    <w:basedOn w:val="Normal"/>
    <w:next w:val="Normal"/>
    <w:link w:val="Heading2Char"/>
    <w:uiPriority w:val="9"/>
    <w:semiHidden/>
    <w:unhideWhenUsed/>
    <w:qFormat/>
    <w:rsid w:val="00121B6A"/>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21B6A"/>
    <w:pPr>
      <w:keepNext/>
      <w:keepLines/>
      <w:numPr>
        <w:ilvl w:val="2"/>
        <w:numId w:val="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21B6A"/>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21B6A"/>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21B6A"/>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21B6A"/>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21B6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1B6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21B6A"/>
    <w:rPr>
      <w:rFonts w:asciiTheme="majorHAnsi" w:eastAsiaTheme="majorEastAsia" w:hAnsiTheme="majorHAnsi" w:cstheme="majorBidi"/>
      <w:color w:val="365F91" w:themeColor="accent1" w:themeShade="BF"/>
      <w:sz w:val="26"/>
      <w:szCs w:val="26"/>
      <w:lang w:val="et" w:eastAsia="et"/>
    </w:rPr>
  </w:style>
  <w:style w:type="character" w:customStyle="1" w:styleId="Heading3Char">
    <w:name w:val="Heading 3 Char"/>
    <w:basedOn w:val="DefaultParagraphFont"/>
    <w:link w:val="Heading3"/>
    <w:uiPriority w:val="9"/>
    <w:semiHidden/>
    <w:rsid w:val="00121B6A"/>
    <w:rPr>
      <w:rFonts w:asciiTheme="majorHAnsi" w:eastAsiaTheme="majorEastAsia" w:hAnsiTheme="majorHAnsi" w:cstheme="majorBidi"/>
      <w:color w:val="243F60" w:themeColor="accent1" w:themeShade="7F"/>
      <w:sz w:val="24"/>
      <w:szCs w:val="24"/>
      <w:lang w:val="et" w:eastAsia="et"/>
    </w:rPr>
  </w:style>
  <w:style w:type="character" w:customStyle="1" w:styleId="Heading4Char">
    <w:name w:val="Heading 4 Char"/>
    <w:basedOn w:val="DefaultParagraphFont"/>
    <w:link w:val="Heading4"/>
    <w:uiPriority w:val="9"/>
    <w:semiHidden/>
    <w:rsid w:val="00121B6A"/>
    <w:rPr>
      <w:rFonts w:asciiTheme="majorHAnsi" w:eastAsiaTheme="majorEastAsia" w:hAnsiTheme="majorHAnsi" w:cstheme="majorBidi"/>
      <w:i/>
      <w:iCs/>
      <w:color w:val="365F91" w:themeColor="accent1" w:themeShade="BF"/>
      <w:lang w:val="et" w:eastAsia="et"/>
    </w:rPr>
  </w:style>
  <w:style w:type="character" w:customStyle="1" w:styleId="Heading5Char">
    <w:name w:val="Heading 5 Char"/>
    <w:basedOn w:val="DefaultParagraphFont"/>
    <w:link w:val="Heading5"/>
    <w:uiPriority w:val="9"/>
    <w:semiHidden/>
    <w:rsid w:val="00121B6A"/>
    <w:rPr>
      <w:rFonts w:asciiTheme="majorHAnsi" w:eastAsiaTheme="majorEastAsia" w:hAnsiTheme="majorHAnsi" w:cstheme="majorBidi"/>
      <w:color w:val="365F91" w:themeColor="accent1" w:themeShade="BF"/>
      <w:lang w:val="et" w:eastAsia="et"/>
    </w:rPr>
  </w:style>
  <w:style w:type="character" w:customStyle="1" w:styleId="Heading6Char">
    <w:name w:val="Heading 6 Char"/>
    <w:basedOn w:val="DefaultParagraphFont"/>
    <w:link w:val="Heading6"/>
    <w:uiPriority w:val="9"/>
    <w:semiHidden/>
    <w:rsid w:val="00121B6A"/>
    <w:rPr>
      <w:rFonts w:asciiTheme="majorHAnsi" w:eastAsiaTheme="majorEastAsia" w:hAnsiTheme="majorHAnsi" w:cstheme="majorBidi"/>
      <w:color w:val="243F60" w:themeColor="accent1" w:themeShade="7F"/>
      <w:lang w:val="et" w:eastAsia="et"/>
    </w:rPr>
  </w:style>
  <w:style w:type="character" w:customStyle="1" w:styleId="Heading7Char">
    <w:name w:val="Heading 7 Char"/>
    <w:basedOn w:val="DefaultParagraphFont"/>
    <w:link w:val="Heading7"/>
    <w:uiPriority w:val="9"/>
    <w:semiHidden/>
    <w:rsid w:val="00121B6A"/>
    <w:rPr>
      <w:rFonts w:asciiTheme="majorHAnsi" w:eastAsiaTheme="majorEastAsia" w:hAnsiTheme="majorHAnsi" w:cstheme="majorBidi"/>
      <w:i/>
      <w:iCs/>
      <w:color w:val="243F60" w:themeColor="accent1" w:themeShade="7F"/>
      <w:lang w:val="et" w:eastAsia="et"/>
    </w:rPr>
  </w:style>
  <w:style w:type="character" w:customStyle="1" w:styleId="Heading8Char">
    <w:name w:val="Heading 8 Char"/>
    <w:basedOn w:val="DefaultParagraphFont"/>
    <w:link w:val="Heading8"/>
    <w:uiPriority w:val="9"/>
    <w:semiHidden/>
    <w:rsid w:val="00121B6A"/>
    <w:rPr>
      <w:rFonts w:asciiTheme="majorHAnsi" w:eastAsiaTheme="majorEastAsia" w:hAnsiTheme="majorHAnsi" w:cstheme="majorBidi"/>
      <w:color w:val="272727" w:themeColor="text1" w:themeTint="D8"/>
      <w:sz w:val="21"/>
      <w:szCs w:val="21"/>
      <w:lang w:val="et" w:eastAsia="et"/>
    </w:rPr>
  </w:style>
  <w:style w:type="character" w:customStyle="1" w:styleId="Heading9Char">
    <w:name w:val="Heading 9 Char"/>
    <w:basedOn w:val="DefaultParagraphFont"/>
    <w:link w:val="Heading9"/>
    <w:uiPriority w:val="9"/>
    <w:semiHidden/>
    <w:rsid w:val="00121B6A"/>
    <w:rPr>
      <w:rFonts w:asciiTheme="majorHAnsi" w:eastAsiaTheme="majorEastAsia" w:hAnsiTheme="majorHAnsi" w:cstheme="majorBidi"/>
      <w:i/>
      <w:iCs/>
      <w:color w:val="272727" w:themeColor="text1" w:themeTint="D8"/>
      <w:sz w:val="21"/>
      <w:szCs w:val="21"/>
      <w:lang w:val="et" w:eastAsia="et"/>
    </w:rPr>
  </w:style>
  <w:style w:type="paragraph" w:styleId="TOC1">
    <w:name w:val="toc 1"/>
    <w:basedOn w:val="Normal"/>
    <w:uiPriority w:val="39"/>
    <w:qFormat/>
    <w:pPr>
      <w:ind w:left="606" w:hanging="36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pPr>
      <w:spacing w:before="25" w:line="162" w:lineRule="exact"/>
    </w:pPr>
    <w:rPr>
      <w:rFonts w:ascii="Arial" w:eastAsia="Arial" w:hAnsi="Arial"/>
    </w:rPr>
  </w:style>
  <w:style w:type="paragraph" w:styleId="NormalWeb">
    <w:name w:val="Normal (Web)"/>
    <w:basedOn w:val="Normal"/>
    <w:uiPriority w:val="99"/>
    <w:semiHidden/>
    <w:unhideWhenUsed/>
    <w:rsid w:val="007A30D3"/>
    <w:pPr>
      <w:widowControl/>
      <w:autoSpaceDE/>
      <w:autoSpaceDN/>
      <w:spacing w:before="100" w:beforeAutospacing="1" w:after="100" w:afterAutospacing="1"/>
    </w:pPr>
    <w:rPr>
      <w:sz w:val="24"/>
      <w:szCs w:val="24"/>
      <w:lang w:val="et-EE" w:eastAsia="et-EE"/>
    </w:rPr>
  </w:style>
  <w:style w:type="character" w:styleId="Hyperlink">
    <w:name w:val="Hyperlink"/>
    <w:basedOn w:val="DefaultParagraphFont"/>
    <w:uiPriority w:val="99"/>
    <w:unhideWhenUsed/>
    <w:rsid w:val="007A30D3"/>
    <w:rPr>
      <w:color w:val="0000FF"/>
      <w:u w:val="single"/>
    </w:rPr>
  </w:style>
  <w:style w:type="paragraph" w:customStyle="1" w:styleId="Default">
    <w:name w:val="Default"/>
    <w:rsid w:val="00C46337"/>
    <w:pPr>
      <w:widowControl/>
      <w:adjustRightInd w:val="0"/>
    </w:pPr>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6F73E5"/>
    <w:rPr>
      <w:vertAlign w:val="superscript"/>
    </w:rPr>
  </w:style>
  <w:style w:type="paragraph" w:styleId="FootnoteText">
    <w:name w:val="footnote text"/>
    <w:basedOn w:val="Normal"/>
    <w:link w:val="FootnoteTextChar"/>
    <w:uiPriority w:val="99"/>
    <w:semiHidden/>
    <w:unhideWhenUsed/>
    <w:rsid w:val="00A21E80"/>
    <w:rPr>
      <w:sz w:val="20"/>
      <w:szCs w:val="20"/>
    </w:rPr>
  </w:style>
  <w:style w:type="character" w:customStyle="1" w:styleId="FootnoteTextChar">
    <w:name w:val="Footnote Text Char"/>
    <w:basedOn w:val="DefaultParagraphFont"/>
    <w:link w:val="FootnoteText"/>
    <w:uiPriority w:val="99"/>
    <w:semiHidden/>
    <w:rsid w:val="00A21E80"/>
    <w:rPr>
      <w:rFonts w:ascii="Times New Roman" w:eastAsia="Times New Roman" w:hAnsi="Times New Roman" w:cs="Times New Roman"/>
      <w:sz w:val="20"/>
      <w:szCs w:val="20"/>
      <w:lang w:val="et" w:eastAsia="et"/>
    </w:rPr>
  </w:style>
  <w:style w:type="paragraph" w:styleId="Caption">
    <w:name w:val="caption"/>
    <w:basedOn w:val="Normal"/>
    <w:next w:val="Normal"/>
    <w:unhideWhenUsed/>
    <w:qFormat/>
    <w:rsid w:val="00A21E80"/>
    <w:pPr>
      <w:widowControl/>
      <w:autoSpaceDE/>
      <w:autoSpaceDN/>
      <w:spacing w:after="200"/>
    </w:pPr>
    <w:rPr>
      <w:rFonts w:asciiTheme="minorHAnsi" w:eastAsiaTheme="minorHAnsi" w:hAnsiTheme="minorHAnsi" w:cstheme="minorBidi"/>
      <w:i/>
      <w:iCs/>
      <w:color w:val="1F497D" w:themeColor="text2"/>
      <w:sz w:val="18"/>
      <w:szCs w:val="18"/>
      <w:lang w:val="et-EE" w:eastAsia="en-US"/>
    </w:rPr>
  </w:style>
  <w:style w:type="paragraph" w:styleId="Header">
    <w:name w:val="header"/>
    <w:basedOn w:val="Normal"/>
    <w:link w:val="HeaderChar"/>
    <w:uiPriority w:val="99"/>
    <w:unhideWhenUsed/>
    <w:rsid w:val="00E037F1"/>
    <w:pPr>
      <w:tabs>
        <w:tab w:val="center" w:pos="4536"/>
        <w:tab w:val="right" w:pos="9072"/>
      </w:tabs>
    </w:pPr>
  </w:style>
  <w:style w:type="character" w:customStyle="1" w:styleId="HeaderChar">
    <w:name w:val="Header Char"/>
    <w:basedOn w:val="DefaultParagraphFont"/>
    <w:link w:val="Header"/>
    <w:uiPriority w:val="99"/>
    <w:rsid w:val="00E037F1"/>
    <w:rPr>
      <w:rFonts w:ascii="Times New Roman" w:eastAsia="Times New Roman" w:hAnsi="Times New Roman" w:cs="Times New Roman"/>
      <w:lang w:val="et" w:eastAsia="et"/>
    </w:rPr>
  </w:style>
  <w:style w:type="paragraph" w:styleId="Footer">
    <w:name w:val="footer"/>
    <w:basedOn w:val="Normal"/>
    <w:link w:val="FooterChar"/>
    <w:uiPriority w:val="99"/>
    <w:unhideWhenUsed/>
    <w:rsid w:val="00E037F1"/>
    <w:pPr>
      <w:tabs>
        <w:tab w:val="center" w:pos="4536"/>
        <w:tab w:val="right" w:pos="9072"/>
      </w:tabs>
    </w:pPr>
  </w:style>
  <w:style w:type="character" w:customStyle="1" w:styleId="FooterChar">
    <w:name w:val="Footer Char"/>
    <w:basedOn w:val="DefaultParagraphFont"/>
    <w:link w:val="Footer"/>
    <w:uiPriority w:val="99"/>
    <w:rsid w:val="00E037F1"/>
    <w:rPr>
      <w:rFonts w:ascii="Times New Roman" w:eastAsia="Times New Roman" w:hAnsi="Times New Roman" w:cs="Times New Roman"/>
      <w:lang w:val="et" w:eastAsia="et"/>
    </w:rPr>
  </w:style>
  <w:style w:type="paragraph" w:styleId="TOCHeading">
    <w:name w:val="TOC Heading"/>
    <w:basedOn w:val="Heading1"/>
    <w:next w:val="Normal"/>
    <w:uiPriority w:val="39"/>
    <w:unhideWhenUsed/>
    <w:qFormat/>
    <w:rsid w:val="00F02794"/>
    <w:pPr>
      <w:keepNext/>
      <w:keepLines/>
      <w:widowControl/>
      <w:numPr>
        <w:numId w:val="0"/>
      </w:numPr>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Loendilik">
    <w:name w:val="Loendi lõik"/>
    <w:basedOn w:val="Normal"/>
    <w:qFormat/>
    <w:rsid w:val="008A679F"/>
    <w:pPr>
      <w:widowControl/>
      <w:autoSpaceDE/>
      <w:autoSpaceDN/>
      <w:spacing w:after="200" w:line="276" w:lineRule="auto"/>
      <w:ind w:left="720"/>
      <w:contextualSpacing/>
    </w:pPr>
    <w:rPr>
      <w:rFonts w:ascii="Calibri" w:eastAsia="Calibri" w:hAnsi="Calibri"/>
      <w:lang w:val="et-EE" w:eastAsia="en-US"/>
    </w:rPr>
  </w:style>
  <w:style w:type="paragraph" w:styleId="BalloonText">
    <w:name w:val="Balloon Text"/>
    <w:basedOn w:val="Normal"/>
    <w:link w:val="BalloonTextChar"/>
    <w:uiPriority w:val="99"/>
    <w:semiHidden/>
    <w:unhideWhenUsed/>
    <w:rsid w:val="00547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E61"/>
    <w:rPr>
      <w:rFonts w:ascii="Segoe UI" w:eastAsia="Times New Roman" w:hAnsi="Segoe UI" w:cs="Segoe UI"/>
      <w:sz w:val="18"/>
      <w:szCs w:val="18"/>
      <w:lang w:val="et" w:eastAsia="e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4289">
      <w:bodyDiv w:val="1"/>
      <w:marLeft w:val="0"/>
      <w:marRight w:val="0"/>
      <w:marTop w:val="0"/>
      <w:marBottom w:val="0"/>
      <w:divBdr>
        <w:top w:val="none" w:sz="0" w:space="0" w:color="auto"/>
        <w:left w:val="none" w:sz="0" w:space="0" w:color="auto"/>
        <w:bottom w:val="none" w:sz="0" w:space="0" w:color="auto"/>
        <w:right w:val="none" w:sz="0" w:space="0" w:color="auto"/>
      </w:divBdr>
    </w:div>
    <w:div w:id="85611532">
      <w:bodyDiv w:val="1"/>
      <w:marLeft w:val="0"/>
      <w:marRight w:val="0"/>
      <w:marTop w:val="0"/>
      <w:marBottom w:val="0"/>
      <w:divBdr>
        <w:top w:val="none" w:sz="0" w:space="0" w:color="auto"/>
        <w:left w:val="none" w:sz="0" w:space="0" w:color="auto"/>
        <w:bottom w:val="none" w:sz="0" w:space="0" w:color="auto"/>
        <w:right w:val="none" w:sz="0" w:space="0" w:color="auto"/>
      </w:divBdr>
    </w:div>
    <w:div w:id="97793518">
      <w:bodyDiv w:val="1"/>
      <w:marLeft w:val="0"/>
      <w:marRight w:val="0"/>
      <w:marTop w:val="0"/>
      <w:marBottom w:val="0"/>
      <w:divBdr>
        <w:top w:val="none" w:sz="0" w:space="0" w:color="auto"/>
        <w:left w:val="none" w:sz="0" w:space="0" w:color="auto"/>
        <w:bottom w:val="none" w:sz="0" w:space="0" w:color="auto"/>
        <w:right w:val="none" w:sz="0" w:space="0" w:color="auto"/>
      </w:divBdr>
    </w:div>
    <w:div w:id="124391581">
      <w:bodyDiv w:val="1"/>
      <w:marLeft w:val="0"/>
      <w:marRight w:val="0"/>
      <w:marTop w:val="0"/>
      <w:marBottom w:val="0"/>
      <w:divBdr>
        <w:top w:val="none" w:sz="0" w:space="0" w:color="auto"/>
        <w:left w:val="none" w:sz="0" w:space="0" w:color="auto"/>
        <w:bottom w:val="none" w:sz="0" w:space="0" w:color="auto"/>
        <w:right w:val="none" w:sz="0" w:space="0" w:color="auto"/>
      </w:divBdr>
    </w:div>
    <w:div w:id="143356163">
      <w:bodyDiv w:val="1"/>
      <w:marLeft w:val="0"/>
      <w:marRight w:val="0"/>
      <w:marTop w:val="0"/>
      <w:marBottom w:val="0"/>
      <w:divBdr>
        <w:top w:val="none" w:sz="0" w:space="0" w:color="auto"/>
        <w:left w:val="none" w:sz="0" w:space="0" w:color="auto"/>
        <w:bottom w:val="none" w:sz="0" w:space="0" w:color="auto"/>
        <w:right w:val="none" w:sz="0" w:space="0" w:color="auto"/>
      </w:divBdr>
    </w:div>
    <w:div w:id="154537035">
      <w:bodyDiv w:val="1"/>
      <w:marLeft w:val="0"/>
      <w:marRight w:val="0"/>
      <w:marTop w:val="0"/>
      <w:marBottom w:val="0"/>
      <w:divBdr>
        <w:top w:val="none" w:sz="0" w:space="0" w:color="auto"/>
        <w:left w:val="none" w:sz="0" w:space="0" w:color="auto"/>
        <w:bottom w:val="none" w:sz="0" w:space="0" w:color="auto"/>
        <w:right w:val="none" w:sz="0" w:space="0" w:color="auto"/>
      </w:divBdr>
    </w:div>
    <w:div w:id="176889279">
      <w:bodyDiv w:val="1"/>
      <w:marLeft w:val="0"/>
      <w:marRight w:val="0"/>
      <w:marTop w:val="0"/>
      <w:marBottom w:val="0"/>
      <w:divBdr>
        <w:top w:val="none" w:sz="0" w:space="0" w:color="auto"/>
        <w:left w:val="none" w:sz="0" w:space="0" w:color="auto"/>
        <w:bottom w:val="none" w:sz="0" w:space="0" w:color="auto"/>
        <w:right w:val="none" w:sz="0" w:space="0" w:color="auto"/>
      </w:divBdr>
    </w:div>
    <w:div w:id="269433669">
      <w:bodyDiv w:val="1"/>
      <w:marLeft w:val="0"/>
      <w:marRight w:val="0"/>
      <w:marTop w:val="0"/>
      <w:marBottom w:val="0"/>
      <w:divBdr>
        <w:top w:val="none" w:sz="0" w:space="0" w:color="auto"/>
        <w:left w:val="none" w:sz="0" w:space="0" w:color="auto"/>
        <w:bottom w:val="none" w:sz="0" w:space="0" w:color="auto"/>
        <w:right w:val="none" w:sz="0" w:space="0" w:color="auto"/>
      </w:divBdr>
    </w:div>
    <w:div w:id="276639814">
      <w:bodyDiv w:val="1"/>
      <w:marLeft w:val="0"/>
      <w:marRight w:val="0"/>
      <w:marTop w:val="0"/>
      <w:marBottom w:val="0"/>
      <w:divBdr>
        <w:top w:val="none" w:sz="0" w:space="0" w:color="auto"/>
        <w:left w:val="none" w:sz="0" w:space="0" w:color="auto"/>
        <w:bottom w:val="none" w:sz="0" w:space="0" w:color="auto"/>
        <w:right w:val="none" w:sz="0" w:space="0" w:color="auto"/>
      </w:divBdr>
    </w:div>
    <w:div w:id="343752748">
      <w:bodyDiv w:val="1"/>
      <w:marLeft w:val="0"/>
      <w:marRight w:val="0"/>
      <w:marTop w:val="0"/>
      <w:marBottom w:val="0"/>
      <w:divBdr>
        <w:top w:val="none" w:sz="0" w:space="0" w:color="auto"/>
        <w:left w:val="none" w:sz="0" w:space="0" w:color="auto"/>
        <w:bottom w:val="none" w:sz="0" w:space="0" w:color="auto"/>
        <w:right w:val="none" w:sz="0" w:space="0" w:color="auto"/>
      </w:divBdr>
    </w:div>
    <w:div w:id="367804729">
      <w:bodyDiv w:val="1"/>
      <w:marLeft w:val="0"/>
      <w:marRight w:val="0"/>
      <w:marTop w:val="0"/>
      <w:marBottom w:val="0"/>
      <w:divBdr>
        <w:top w:val="none" w:sz="0" w:space="0" w:color="auto"/>
        <w:left w:val="none" w:sz="0" w:space="0" w:color="auto"/>
        <w:bottom w:val="none" w:sz="0" w:space="0" w:color="auto"/>
        <w:right w:val="none" w:sz="0" w:space="0" w:color="auto"/>
      </w:divBdr>
    </w:div>
    <w:div w:id="488711160">
      <w:bodyDiv w:val="1"/>
      <w:marLeft w:val="0"/>
      <w:marRight w:val="0"/>
      <w:marTop w:val="0"/>
      <w:marBottom w:val="0"/>
      <w:divBdr>
        <w:top w:val="none" w:sz="0" w:space="0" w:color="auto"/>
        <w:left w:val="none" w:sz="0" w:space="0" w:color="auto"/>
        <w:bottom w:val="none" w:sz="0" w:space="0" w:color="auto"/>
        <w:right w:val="none" w:sz="0" w:space="0" w:color="auto"/>
      </w:divBdr>
    </w:div>
    <w:div w:id="579872898">
      <w:bodyDiv w:val="1"/>
      <w:marLeft w:val="0"/>
      <w:marRight w:val="0"/>
      <w:marTop w:val="0"/>
      <w:marBottom w:val="0"/>
      <w:divBdr>
        <w:top w:val="none" w:sz="0" w:space="0" w:color="auto"/>
        <w:left w:val="none" w:sz="0" w:space="0" w:color="auto"/>
        <w:bottom w:val="none" w:sz="0" w:space="0" w:color="auto"/>
        <w:right w:val="none" w:sz="0" w:space="0" w:color="auto"/>
      </w:divBdr>
    </w:div>
    <w:div w:id="582422691">
      <w:bodyDiv w:val="1"/>
      <w:marLeft w:val="0"/>
      <w:marRight w:val="0"/>
      <w:marTop w:val="0"/>
      <w:marBottom w:val="0"/>
      <w:divBdr>
        <w:top w:val="none" w:sz="0" w:space="0" w:color="auto"/>
        <w:left w:val="none" w:sz="0" w:space="0" w:color="auto"/>
        <w:bottom w:val="none" w:sz="0" w:space="0" w:color="auto"/>
        <w:right w:val="none" w:sz="0" w:space="0" w:color="auto"/>
      </w:divBdr>
    </w:div>
    <w:div w:id="623463556">
      <w:bodyDiv w:val="1"/>
      <w:marLeft w:val="0"/>
      <w:marRight w:val="0"/>
      <w:marTop w:val="0"/>
      <w:marBottom w:val="0"/>
      <w:divBdr>
        <w:top w:val="none" w:sz="0" w:space="0" w:color="auto"/>
        <w:left w:val="none" w:sz="0" w:space="0" w:color="auto"/>
        <w:bottom w:val="none" w:sz="0" w:space="0" w:color="auto"/>
        <w:right w:val="none" w:sz="0" w:space="0" w:color="auto"/>
      </w:divBdr>
    </w:div>
    <w:div w:id="714502897">
      <w:bodyDiv w:val="1"/>
      <w:marLeft w:val="0"/>
      <w:marRight w:val="0"/>
      <w:marTop w:val="0"/>
      <w:marBottom w:val="0"/>
      <w:divBdr>
        <w:top w:val="none" w:sz="0" w:space="0" w:color="auto"/>
        <w:left w:val="none" w:sz="0" w:space="0" w:color="auto"/>
        <w:bottom w:val="none" w:sz="0" w:space="0" w:color="auto"/>
        <w:right w:val="none" w:sz="0" w:space="0" w:color="auto"/>
      </w:divBdr>
    </w:div>
    <w:div w:id="796753385">
      <w:bodyDiv w:val="1"/>
      <w:marLeft w:val="0"/>
      <w:marRight w:val="0"/>
      <w:marTop w:val="0"/>
      <w:marBottom w:val="0"/>
      <w:divBdr>
        <w:top w:val="none" w:sz="0" w:space="0" w:color="auto"/>
        <w:left w:val="none" w:sz="0" w:space="0" w:color="auto"/>
        <w:bottom w:val="none" w:sz="0" w:space="0" w:color="auto"/>
        <w:right w:val="none" w:sz="0" w:space="0" w:color="auto"/>
      </w:divBdr>
    </w:div>
    <w:div w:id="830825961">
      <w:bodyDiv w:val="1"/>
      <w:marLeft w:val="0"/>
      <w:marRight w:val="0"/>
      <w:marTop w:val="0"/>
      <w:marBottom w:val="0"/>
      <w:divBdr>
        <w:top w:val="none" w:sz="0" w:space="0" w:color="auto"/>
        <w:left w:val="none" w:sz="0" w:space="0" w:color="auto"/>
        <w:bottom w:val="none" w:sz="0" w:space="0" w:color="auto"/>
        <w:right w:val="none" w:sz="0" w:space="0" w:color="auto"/>
      </w:divBdr>
    </w:div>
    <w:div w:id="836771301">
      <w:bodyDiv w:val="1"/>
      <w:marLeft w:val="0"/>
      <w:marRight w:val="0"/>
      <w:marTop w:val="0"/>
      <w:marBottom w:val="0"/>
      <w:divBdr>
        <w:top w:val="none" w:sz="0" w:space="0" w:color="auto"/>
        <w:left w:val="none" w:sz="0" w:space="0" w:color="auto"/>
        <w:bottom w:val="none" w:sz="0" w:space="0" w:color="auto"/>
        <w:right w:val="none" w:sz="0" w:space="0" w:color="auto"/>
      </w:divBdr>
    </w:div>
    <w:div w:id="840314819">
      <w:bodyDiv w:val="1"/>
      <w:marLeft w:val="0"/>
      <w:marRight w:val="0"/>
      <w:marTop w:val="0"/>
      <w:marBottom w:val="0"/>
      <w:divBdr>
        <w:top w:val="none" w:sz="0" w:space="0" w:color="auto"/>
        <w:left w:val="none" w:sz="0" w:space="0" w:color="auto"/>
        <w:bottom w:val="none" w:sz="0" w:space="0" w:color="auto"/>
        <w:right w:val="none" w:sz="0" w:space="0" w:color="auto"/>
      </w:divBdr>
    </w:div>
    <w:div w:id="842354655">
      <w:bodyDiv w:val="1"/>
      <w:marLeft w:val="0"/>
      <w:marRight w:val="0"/>
      <w:marTop w:val="0"/>
      <w:marBottom w:val="0"/>
      <w:divBdr>
        <w:top w:val="none" w:sz="0" w:space="0" w:color="auto"/>
        <w:left w:val="none" w:sz="0" w:space="0" w:color="auto"/>
        <w:bottom w:val="none" w:sz="0" w:space="0" w:color="auto"/>
        <w:right w:val="none" w:sz="0" w:space="0" w:color="auto"/>
      </w:divBdr>
    </w:div>
    <w:div w:id="874544342">
      <w:bodyDiv w:val="1"/>
      <w:marLeft w:val="0"/>
      <w:marRight w:val="0"/>
      <w:marTop w:val="0"/>
      <w:marBottom w:val="0"/>
      <w:divBdr>
        <w:top w:val="none" w:sz="0" w:space="0" w:color="auto"/>
        <w:left w:val="none" w:sz="0" w:space="0" w:color="auto"/>
        <w:bottom w:val="none" w:sz="0" w:space="0" w:color="auto"/>
        <w:right w:val="none" w:sz="0" w:space="0" w:color="auto"/>
      </w:divBdr>
    </w:div>
    <w:div w:id="935940154">
      <w:bodyDiv w:val="1"/>
      <w:marLeft w:val="0"/>
      <w:marRight w:val="0"/>
      <w:marTop w:val="0"/>
      <w:marBottom w:val="0"/>
      <w:divBdr>
        <w:top w:val="none" w:sz="0" w:space="0" w:color="auto"/>
        <w:left w:val="none" w:sz="0" w:space="0" w:color="auto"/>
        <w:bottom w:val="none" w:sz="0" w:space="0" w:color="auto"/>
        <w:right w:val="none" w:sz="0" w:space="0" w:color="auto"/>
      </w:divBdr>
    </w:div>
    <w:div w:id="942761370">
      <w:bodyDiv w:val="1"/>
      <w:marLeft w:val="0"/>
      <w:marRight w:val="0"/>
      <w:marTop w:val="0"/>
      <w:marBottom w:val="0"/>
      <w:divBdr>
        <w:top w:val="none" w:sz="0" w:space="0" w:color="auto"/>
        <w:left w:val="none" w:sz="0" w:space="0" w:color="auto"/>
        <w:bottom w:val="none" w:sz="0" w:space="0" w:color="auto"/>
        <w:right w:val="none" w:sz="0" w:space="0" w:color="auto"/>
      </w:divBdr>
    </w:div>
    <w:div w:id="967128825">
      <w:bodyDiv w:val="1"/>
      <w:marLeft w:val="0"/>
      <w:marRight w:val="0"/>
      <w:marTop w:val="0"/>
      <w:marBottom w:val="0"/>
      <w:divBdr>
        <w:top w:val="none" w:sz="0" w:space="0" w:color="auto"/>
        <w:left w:val="none" w:sz="0" w:space="0" w:color="auto"/>
        <w:bottom w:val="none" w:sz="0" w:space="0" w:color="auto"/>
        <w:right w:val="none" w:sz="0" w:space="0" w:color="auto"/>
      </w:divBdr>
    </w:div>
    <w:div w:id="1077362996">
      <w:bodyDiv w:val="1"/>
      <w:marLeft w:val="0"/>
      <w:marRight w:val="0"/>
      <w:marTop w:val="0"/>
      <w:marBottom w:val="0"/>
      <w:divBdr>
        <w:top w:val="none" w:sz="0" w:space="0" w:color="auto"/>
        <w:left w:val="none" w:sz="0" w:space="0" w:color="auto"/>
        <w:bottom w:val="none" w:sz="0" w:space="0" w:color="auto"/>
        <w:right w:val="none" w:sz="0" w:space="0" w:color="auto"/>
      </w:divBdr>
    </w:div>
    <w:div w:id="1124009223">
      <w:bodyDiv w:val="1"/>
      <w:marLeft w:val="0"/>
      <w:marRight w:val="0"/>
      <w:marTop w:val="0"/>
      <w:marBottom w:val="0"/>
      <w:divBdr>
        <w:top w:val="none" w:sz="0" w:space="0" w:color="auto"/>
        <w:left w:val="none" w:sz="0" w:space="0" w:color="auto"/>
        <w:bottom w:val="none" w:sz="0" w:space="0" w:color="auto"/>
        <w:right w:val="none" w:sz="0" w:space="0" w:color="auto"/>
      </w:divBdr>
    </w:div>
    <w:div w:id="1125125742">
      <w:bodyDiv w:val="1"/>
      <w:marLeft w:val="0"/>
      <w:marRight w:val="0"/>
      <w:marTop w:val="0"/>
      <w:marBottom w:val="0"/>
      <w:divBdr>
        <w:top w:val="none" w:sz="0" w:space="0" w:color="auto"/>
        <w:left w:val="none" w:sz="0" w:space="0" w:color="auto"/>
        <w:bottom w:val="none" w:sz="0" w:space="0" w:color="auto"/>
        <w:right w:val="none" w:sz="0" w:space="0" w:color="auto"/>
      </w:divBdr>
    </w:div>
    <w:div w:id="1199315058">
      <w:bodyDiv w:val="1"/>
      <w:marLeft w:val="0"/>
      <w:marRight w:val="0"/>
      <w:marTop w:val="0"/>
      <w:marBottom w:val="0"/>
      <w:divBdr>
        <w:top w:val="none" w:sz="0" w:space="0" w:color="auto"/>
        <w:left w:val="none" w:sz="0" w:space="0" w:color="auto"/>
        <w:bottom w:val="none" w:sz="0" w:space="0" w:color="auto"/>
        <w:right w:val="none" w:sz="0" w:space="0" w:color="auto"/>
      </w:divBdr>
    </w:div>
    <w:div w:id="1209685321">
      <w:bodyDiv w:val="1"/>
      <w:marLeft w:val="0"/>
      <w:marRight w:val="0"/>
      <w:marTop w:val="0"/>
      <w:marBottom w:val="0"/>
      <w:divBdr>
        <w:top w:val="none" w:sz="0" w:space="0" w:color="auto"/>
        <w:left w:val="none" w:sz="0" w:space="0" w:color="auto"/>
        <w:bottom w:val="none" w:sz="0" w:space="0" w:color="auto"/>
        <w:right w:val="none" w:sz="0" w:space="0" w:color="auto"/>
      </w:divBdr>
    </w:div>
    <w:div w:id="1236862895">
      <w:bodyDiv w:val="1"/>
      <w:marLeft w:val="0"/>
      <w:marRight w:val="0"/>
      <w:marTop w:val="0"/>
      <w:marBottom w:val="0"/>
      <w:divBdr>
        <w:top w:val="none" w:sz="0" w:space="0" w:color="auto"/>
        <w:left w:val="none" w:sz="0" w:space="0" w:color="auto"/>
        <w:bottom w:val="none" w:sz="0" w:space="0" w:color="auto"/>
        <w:right w:val="none" w:sz="0" w:space="0" w:color="auto"/>
      </w:divBdr>
    </w:div>
    <w:div w:id="1320185266">
      <w:bodyDiv w:val="1"/>
      <w:marLeft w:val="0"/>
      <w:marRight w:val="0"/>
      <w:marTop w:val="0"/>
      <w:marBottom w:val="0"/>
      <w:divBdr>
        <w:top w:val="none" w:sz="0" w:space="0" w:color="auto"/>
        <w:left w:val="none" w:sz="0" w:space="0" w:color="auto"/>
        <w:bottom w:val="none" w:sz="0" w:space="0" w:color="auto"/>
        <w:right w:val="none" w:sz="0" w:space="0" w:color="auto"/>
      </w:divBdr>
    </w:div>
    <w:div w:id="1413117258">
      <w:bodyDiv w:val="1"/>
      <w:marLeft w:val="0"/>
      <w:marRight w:val="0"/>
      <w:marTop w:val="0"/>
      <w:marBottom w:val="0"/>
      <w:divBdr>
        <w:top w:val="none" w:sz="0" w:space="0" w:color="auto"/>
        <w:left w:val="none" w:sz="0" w:space="0" w:color="auto"/>
        <w:bottom w:val="none" w:sz="0" w:space="0" w:color="auto"/>
        <w:right w:val="none" w:sz="0" w:space="0" w:color="auto"/>
      </w:divBdr>
    </w:div>
    <w:div w:id="1424646859">
      <w:bodyDiv w:val="1"/>
      <w:marLeft w:val="0"/>
      <w:marRight w:val="0"/>
      <w:marTop w:val="0"/>
      <w:marBottom w:val="0"/>
      <w:divBdr>
        <w:top w:val="none" w:sz="0" w:space="0" w:color="auto"/>
        <w:left w:val="none" w:sz="0" w:space="0" w:color="auto"/>
        <w:bottom w:val="none" w:sz="0" w:space="0" w:color="auto"/>
        <w:right w:val="none" w:sz="0" w:space="0" w:color="auto"/>
      </w:divBdr>
    </w:div>
    <w:div w:id="1431504657">
      <w:bodyDiv w:val="1"/>
      <w:marLeft w:val="0"/>
      <w:marRight w:val="0"/>
      <w:marTop w:val="0"/>
      <w:marBottom w:val="0"/>
      <w:divBdr>
        <w:top w:val="none" w:sz="0" w:space="0" w:color="auto"/>
        <w:left w:val="none" w:sz="0" w:space="0" w:color="auto"/>
        <w:bottom w:val="none" w:sz="0" w:space="0" w:color="auto"/>
        <w:right w:val="none" w:sz="0" w:space="0" w:color="auto"/>
      </w:divBdr>
    </w:div>
    <w:div w:id="1440295380">
      <w:bodyDiv w:val="1"/>
      <w:marLeft w:val="0"/>
      <w:marRight w:val="0"/>
      <w:marTop w:val="0"/>
      <w:marBottom w:val="0"/>
      <w:divBdr>
        <w:top w:val="none" w:sz="0" w:space="0" w:color="auto"/>
        <w:left w:val="none" w:sz="0" w:space="0" w:color="auto"/>
        <w:bottom w:val="none" w:sz="0" w:space="0" w:color="auto"/>
        <w:right w:val="none" w:sz="0" w:space="0" w:color="auto"/>
      </w:divBdr>
    </w:div>
    <w:div w:id="1511522886">
      <w:bodyDiv w:val="1"/>
      <w:marLeft w:val="0"/>
      <w:marRight w:val="0"/>
      <w:marTop w:val="0"/>
      <w:marBottom w:val="0"/>
      <w:divBdr>
        <w:top w:val="none" w:sz="0" w:space="0" w:color="auto"/>
        <w:left w:val="none" w:sz="0" w:space="0" w:color="auto"/>
        <w:bottom w:val="none" w:sz="0" w:space="0" w:color="auto"/>
        <w:right w:val="none" w:sz="0" w:space="0" w:color="auto"/>
      </w:divBdr>
    </w:div>
    <w:div w:id="1524897372">
      <w:bodyDiv w:val="1"/>
      <w:marLeft w:val="0"/>
      <w:marRight w:val="0"/>
      <w:marTop w:val="0"/>
      <w:marBottom w:val="0"/>
      <w:divBdr>
        <w:top w:val="none" w:sz="0" w:space="0" w:color="auto"/>
        <w:left w:val="none" w:sz="0" w:space="0" w:color="auto"/>
        <w:bottom w:val="none" w:sz="0" w:space="0" w:color="auto"/>
        <w:right w:val="none" w:sz="0" w:space="0" w:color="auto"/>
      </w:divBdr>
    </w:div>
    <w:div w:id="1553804085">
      <w:bodyDiv w:val="1"/>
      <w:marLeft w:val="0"/>
      <w:marRight w:val="0"/>
      <w:marTop w:val="0"/>
      <w:marBottom w:val="0"/>
      <w:divBdr>
        <w:top w:val="none" w:sz="0" w:space="0" w:color="auto"/>
        <w:left w:val="none" w:sz="0" w:space="0" w:color="auto"/>
        <w:bottom w:val="none" w:sz="0" w:space="0" w:color="auto"/>
        <w:right w:val="none" w:sz="0" w:space="0" w:color="auto"/>
      </w:divBdr>
    </w:div>
    <w:div w:id="1598442961">
      <w:bodyDiv w:val="1"/>
      <w:marLeft w:val="0"/>
      <w:marRight w:val="0"/>
      <w:marTop w:val="0"/>
      <w:marBottom w:val="0"/>
      <w:divBdr>
        <w:top w:val="none" w:sz="0" w:space="0" w:color="auto"/>
        <w:left w:val="none" w:sz="0" w:space="0" w:color="auto"/>
        <w:bottom w:val="none" w:sz="0" w:space="0" w:color="auto"/>
        <w:right w:val="none" w:sz="0" w:space="0" w:color="auto"/>
      </w:divBdr>
    </w:div>
    <w:div w:id="1642224767">
      <w:bodyDiv w:val="1"/>
      <w:marLeft w:val="0"/>
      <w:marRight w:val="0"/>
      <w:marTop w:val="0"/>
      <w:marBottom w:val="0"/>
      <w:divBdr>
        <w:top w:val="none" w:sz="0" w:space="0" w:color="auto"/>
        <w:left w:val="none" w:sz="0" w:space="0" w:color="auto"/>
        <w:bottom w:val="none" w:sz="0" w:space="0" w:color="auto"/>
        <w:right w:val="none" w:sz="0" w:space="0" w:color="auto"/>
      </w:divBdr>
    </w:div>
    <w:div w:id="1652054665">
      <w:bodyDiv w:val="1"/>
      <w:marLeft w:val="0"/>
      <w:marRight w:val="0"/>
      <w:marTop w:val="0"/>
      <w:marBottom w:val="0"/>
      <w:divBdr>
        <w:top w:val="none" w:sz="0" w:space="0" w:color="auto"/>
        <w:left w:val="none" w:sz="0" w:space="0" w:color="auto"/>
        <w:bottom w:val="none" w:sz="0" w:space="0" w:color="auto"/>
        <w:right w:val="none" w:sz="0" w:space="0" w:color="auto"/>
      </w:divBdr>
    </w:div>
    <w:div w:id="1656295574">
      <w:bodyDiv w:val="1"/>
      <w:marLeft w:val="0"/>
      <w:marRight w:val="0"/>
      <w:marTop w:val="0"/>
      <w:marBottom w:val="0"/>
      <w:divBdr>
        <w:top w:val="none" w:sz="0" w:space="0" w:color="auto"/>
        <w:left w:val="none" w:sz="0" w:space="0" w:color="auto"/>
        <w:bottom w:val="none" w:sz="0" w:space="0" w:color="auto"/>
        <w:right w:val="none" w:sz="0" w:space="0" w:color="auto"/>
      </w:divBdr>
    </w:div>
    <w:div w:id="1737163360">
      <w:bodyDiv w:val="1"/>
      <w:marLeft w:val="0"/>
      <w:marRight w:val="0"/>
      <w:marTop w:val="0"/>
      <w:marBottom w:val="0"/>
      <w:divBdr>
        <w:top w:val="none" w:sz="0" w:space="0" w:color="auto"/>
        <w:left w:val="none" w:sz="0" w:space="0" w:color="auto"/>
        <w:bottom w:val="none" w:sz="0" w:space="0" w:color="auto"/>
        <w:right w:val="none" w:sz="0" w:space="0" w:color="auto"/>
      </w:divBdr>
    </w:div>
    <w:div w:id="1829437564">
      <w:bodyDiv w:val="1"/>
      <w:marLeft w:val="0"/>
      <w:marRight w:val="0"/>
      <w:marTop w:val="0"/>
      <w:marBottom w:val="0"/>
      <w:divBdr>
        <w:top w:val="none" w:sz="0" w:space="0" w:color="auto"/>
        <w:left w:val="none" w:sz="0" w:space="0" w:color="auto"/>
        <w:bottom w:val="none" w:sz="0" w:space="0" w:color="auto"/>
        <w:right w:val="none" w:sz="0" w:space="0" w:color="auto"/>
      </w:divBdr>
    </w:div>
    <w:div w:id="1887376086">
      <w:bodyDiv w:val="1"/>
      <w:marLeft w:val="0"/>
      <w:marRight w:val="0"/>
      <w:marTop w:val="0"/>
      <w:marBottom w:val="0"/>
      <w:divBdr>
        <w:top w:val="none" w:sz="0" w:space="0" w:color="auto"/>
        <w:left w:val="none" w:sz="0" w:space="0" w:color="auto"/>
        <w:bottom w:val="none" w:sz="0" w:space="0" w:color="auto"/>
        <w:right w:val="none" w:sz="0" w:space="0" w:color="auto"/>
      </w:divBdr>
    </w:div>
    <w:div w:id="1921255238">
      <w:bodyDiv w:val="1"/>
      <w:marLeft w:val="0"/>
      <w:marRight w:val="0"/>
      <w:marTop w:val="0"/>
      <w:marBottom w:val="0"/>
      <w:divBdr>
        <w:top w:val="none" w:sz="0" w:space="0" w:color="auto"/>
        <w:left w:val="none" w:sz="0" w:space="0" w:color="auto"/>
        <w:bottom w:val="none" w:sz="0" w:space="0" w:color="auto"/>
        <w:right w:val="none" w:sz="0" w:space="0" w:color="auto"/>
      </w:divBdr>
    </w:div>
    <w:div w:id="1925648859">
      <w:bodyDiv w:val="1"/>
      <w:marLeft w:val="0"/>
      <w:marRight w:val="0"/>
      <w:marTop w:val="0"/>
      <w:marBottom w:val="0"/>
      <w:divBdr>
        <w:top w:val="none" w:sz="0" w:space="0" w:color="auto"/>
        <w:left w:val="none" w:sz="0" w:space="0" w:color="auto"/>
        <w:bottom w:val="none" w:sz="0" w:space="0" w:color="auto"/>
        <w:right w:val="none" w:sz="0" w:space="0" w:color="auto"/>
      </w:divBdr>
    </w:div>
    <w:div w:id="1933852394">
      <w:bodyDiv w:val="1"/>
      <w:marLeft w:val="0"/>
      <w:marRight w:val="0"/>
      <w:marTop w:val="0"/>
      <w:marBottom w:val="0"/>
      <w:divBdr>
        <w:top w:val="none" w:sz="0" w:space="0" w:color="auto"/>
        <w:left w:val="none" w:sz="0" w:space="0" w:color="auto"/>
        <w:bottom w:val="none" w:sz="0" w:space="0" w:color="auto"/>
        <w:right w:val="none" w:sz="0" w:space="0" w:color="auto"/>
      </w:divBdr>
    </w:div>
    <w:div w:id="1964462537">
      <w:bodyDiv w:val="1"/>
      <w:marLeft w:val="0"/>
      <w:marRight w:val="0"/>
      <w:marTop w:val="0"/>
      <w:marBottom w:val="0"/>
      <w:divBdr>
        <w:top w:val="none" w:sz="0" w:space="0" w:color="auto"/>
        <w:left w:val="none" w:sz="0" w:space="0" w:color="auto"/>
        <w:bottom w:val="none" w:sz="0" w:space="0" w:color="auto"/>
        <w:right w:val="none" w:sz="0" w:space="0" w:color="auto"/>
      </w:divBdr>
    </w:div>
    <w:div w:id="1968926949">
      <w:bodyDiv w:val="1"/>
      <w:marLeft w:val="0"/>
      <w:marRight w:val="0"/>
      <w:marTop w:val="0"/>
      <w:marBottom w:val="0"/>
      <w:divBdr>
        <w:top w:val="none" w:sz="0" w:space="0" w:color="auto"/>
        <w:left w:val="none" w:sz="0" w:space="0" w:color="auto"/>
        <w:bottom w:val="none" w:sz="0" w:space="0" w:color="auto"/>
        <w:right w:val="none" w:sz="0" w:space="0" w:color="auto"/>
      </w:divBdr>
    </w:div>
    <w:div w:id="1985163801">
      <w:bodyDiv w:val="1"/>
      <w:marLeft w:val="0"/>
      <w:marRight w:val="0"/>
      <w:marTop w:val="0"/>
      <w:marBottom w:val="0"/>
      <w:divBdr>
        <w:top w:val="none" w:sz="0" w:space="0" w:color="auto"/>
        <w:left w:val="none" w:sz="0" w:space="0" w:color="auto"/>
        <w:bottom w:val="none" w:sz="0" w:space="0" w:color="auto"/>
        <w:right w:val="none" w:sz="0" w:space="0" w:color="auto"/>
      </w:divBdr>
    </w:div>
    <w:div w:id="1996062180">
      <w:bodyDiv w:val="1"/>
      <w:marLeft w:val="0"/>
      <w:marRight w:val="0"/>
      <w:marTop w:val="0"/>
      <w:marBottom w:val="0"/>
      <w:divBdr>
        <w:top w:val="none" w:sz="0" w:space="0" w:color="auto"/>
        <w:left w:val="none" w:sz="0" w:space="0" w:color="auto"/>
        <w:bottom w:val="none" w:sz="0" w:space="0" w:color="auto"/>
        <w:right w:val="none" w:sz="0" w:space="0" w:color="auto"/>
      </w:divBdr>
    </w:div>
    <w:div w:id="2011985278">
      <w:bodyDiv w:val="1"/>
      <w:marLeft w:val="0"/>
      <w:marRight w:val="0"/>
      <w:marTop w:val="0"/>
      <w:marBottom w:val="0"/>
      <w:divBdr>
        <w:top w:val="none" w:sz="0" w:space="0" w:color="auto"/>
        <w:left w:val="none" w:sz="0" w:space="0" w:color="auto"/>
        <w:bottom w:val="none" w:sz="0" w:space="0" w:color="auto"/>
        <w:right w:val="none" w:sz="0" w:space="0" w:color="auto"/>
      </w:divBdr>
    </w:div>
    <w:div w:id="2016877046">
      <w:bodyDiv w:val="1"/>
      <w:marLeft w:val="0"/>
      <w:marRight w:val="0"/>
      <w:marTop w:val="0"/>
      <w:marBottom w:val="0"/>
      <w:divBdr>
        <w:top w:val="none" w:sz="0" w:space="0" w:color="auto"/>
        <w:left w:val="none" w:sz="0" w:space="0" w:color="auto"/>
        <w:bottom w:val="none" w:sz="0" w:space="0" w:color="auto"/>
        <w:right w:val="none" w:sz="0" w:space="0" w:color="auto"/>
      </w:divBdr>
    </w:div>
    <w:div w:id="2056809154">
      <w:bodyDiv w:val="1"/>
      <w:marLeft w:val="0"/>
      <w:marRight w:val="0"/>
      <w:marTop w:val="0"/>
      <w:marBottom w:val="0"/>
      <w:divBdr>
        <w:top w:val="none" w:sz="0" w:space="0" w:color="auto"/>
        <w:left w:val="none" w:sz="0" w:space="0" w:color="auto"/>
        <w:bottom w:val="none" w:sz="0" w:space="0" w:color="auto"/>
        <w:right w:val="none" w:sz="0" w:space="0" w:color="auto"/>
      </w:divBdr>
    </w:div>
    <w:div w:id="2070029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innivald.ee/asul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F9645-7CC7-423C-8DEA-0314756E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4377</Words>
  <Characters>25390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Lisa</vt:lpstr>
    </vt:vector>
  </TitlesOfParts>
  <Company/>
  <LinksUpToDate>false</LinksUpToDate>
  <CharactersWithSpaces>29708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dc:title>
  <dc:subject/>
  <dc:creator>tiina</dc:creator>
  <cp:keywords/>
  <dc:description/>
  <cp:lastModifiedBy>INNA</cp:lastModifiedBy>
  <cp:revision>19</cp:revision>
  <cp:lastPrinted>2019-10-28T11:15:00Z</cp:lastPrinted>
  <dcterms:created xsi:type="dcterms:W3CDTF">2019-11-22T07:55:00Z</dcterms:created>
  <dcterms:modified xsi:type="dcterms:W3CDTF">2019-11-22T10:42:00Z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2018-06-13T00:00:00Z</vt:filetime>
  </property>
  <property fmtid="{D5CDD505-2E9C-101B-9397-08002B2CF9AE}" pid="3" name="Creator">
    <vt:lpwstr>Microsoft® Word 2013</vt:lpwstr>
  </property>
  <property fmtid="{D5CDD505-2E9C-101B-9397-08002B2CF9AE}" pid="4" name="LastSaved">
    <vt:filetime>2018-07-30T00:00:00Z</vt:filetime>
  </property>
</Properties>
</file>